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26" w:rsidRDefault="00423126" w:rsidP="002B1576">
      <w:pPr>
        <w:tabs>
          <w:tab w:val="left" w:pos="605"/>
        </w:tabs>
        <w:rPr>
          <w:b/>
          <w:color w:val="0000FF"/>
          <w:sz w:val="40"/>
          <w:szCs w:val="40"/>
        </w:rPr>
      </w:pPr>
    </w:p>
    <w:p w:rsidR="00423126" w:rsidRDefault="00423126" w:rsidP="002B1576">
      <w:pPr>
        <w:tabs>
          <w:tab w:val="left" w:pos="605"/>
        </w:tabs>
        <w:rPr>
          <w:b/>
          <w:color w:val="0000FF"/>
          <w:sz w:val="40"/>
          <w:szCs w:val="40"/>
        </w:rPr>
      </w:pPr>
    </w:p>
    <w:p w:rsidR="00423126" w:rsidRDefault="00423126" w:rsidP="002B1576">
      <w:pPr>
        <w:tabs>
          <w:tab w:val="left" w:pos="605"/>
        </w:tabs>
        <w:rPr>
          <w:b/>
          <w:color w:val="0000FF"/>
          <w:sz w:val="40"/>
          <w:szCs w:val="40"/>
        </w:rPr>
      </w:pPr>
    </w:p>
    <w:p w:rsidR="00423126" w:rsidRDefault="00423126" w:rsidP="002B1576">
      <w:pPr>
        <w:tabs>
          <w:tab w:val="left" w:pos="605"/>
        </w:tabs>
        <w:rPr>
          <w:b/>
          <w:color w:val="0000FF"/>
          <w:sz w:val="40"/>
          <w:szCs w:val="40"/>
        </w:rPr>
      </w:pPr>
    </w:p>
    <w:p w:rsidR="00423126" w:rsidRDefault="00423126" w:rsidP="002B1576">
      <w:pPr>
        <w:tabs>
          <w:tab w:val="left" w:pos="605"/>
        </w:tabs>
        <w:rPr>
          <w:b/>
          <w:color w:val="0000FF"/>
          <w:sz w:val="40"/>
          <w:szCs w:val="40"/>
        </w:rPr>
      </w:pPr>
    </w:p>
    <w:p w:rsidR="00423126" w:rsidRDefault="00423126" w:rsidP="002B1576">
      <w:pPr>
        <w:tabs>
          <w:tab w:val="left" w:pos="605"/>
        </w:tabs>
        <w:rPr>
          <w:b/>
          <w:color w:val="0000FF"/>
          <w:sz w:val="52"/>
          <w:szCs w:val="52"/>
        </w:rPr>
      </w:pPr>
      <w:r w:rsidRPr="00E40467">
        <w:rPr>
          <w:b/>
          <w:color w:val="0000FF"/>
          <w:sz w:val="52"/>
          <w:szCs w:val="52"/>
        </w:rPr>
        <w:t>R</w:t>
      </w:r>
      <w:r>
        <w:rPr>
          <w:b/>
          <w:color w:val="0000FF"/>
          <w:sz w:val="52"/>
          <w:szCs w:val="52"/>
        </w:rPr>
        <w:t>EPORT</w:t>
      </w:r>
      <w:r w:rsidRPr="00E40467">
        <w:rPr>
          <w:b/>
          <w:color w:val="0000FF"/>
          <w:sz w:val="52"/>
          <w:szCs w:val="52"/>
        </w:rPr>
        <w:t xml:space="preserve"> </w:t>
      </w:r>
    </w:p>
    <w:p w:rsidR="00423126" w:rsidRDefault="00423126" w:rsidP="002B1576">
      <w:pPr>
        <w:tabs>
          <w:tab w:val="left" w:pos="605"/>
        </w:tabs>
        <w:rPr>
          <w:b/>
          <w:color w:val="0000FF"/>
          <w:sz w:val="52"/>
          <w:szCs w:val="52"/>
        </w:rPr>
      </w:pPr>
    </w:p>
    <w:p w:rsidR="00423126" w:rsidRPr="00E40467" w:rsidRDefault="00423126" w:rsidP="002B1576">
      <w:pPr>
        <w:tabs>
          <w:tab w:val="left" w:pos="605"/>
        </w:tabs>
        <w:rPr>
          <w:b/>
          <w:color w:val="0000FF"/>
          <w:sz w:val="52"/>
          <w:szCs w:val="52"/>
        </w:rPr>
      </w:pPr>
      <w:r>
        <w:rPr>
          <w:b/>
          <w:color w:val="0000FF"/>
          <w:sz w:val="52"/>
          <w:szCs w:val="52"/>
        </w:rPr>
        <w:t>OF THE</w:t>
      </w:r>
    </w:p>
    <w:p w:rsidR="00423126" w:rsidRDefault="00423126" w:rsidP="002B1576">
      <w:pPr>
        <w:tabs>
          <w:tab w:val="left" w:pos="605"/>
        </w:tabs>
        <w:rPr>
          <w:b/>
          <w:color w:val="0000FF"/>
          <w:sz w:val="40"/>
          <w:szCs w:val="40"/>
        </w:rPr>
      </w:pPr>
    </w:p>
    <w:p w:rsidR="00423126" w:rsidRPr="00E40467" w:rsidRDefault="00423126" w:rsidP="002B1576">
      <w:pPr>
        <w:tabs>
          <w:tab w:val="left" w:pos="605"/>
        </w:tabs>
        <w:rPr>
          <w:b/>
          <w:color w:val="0000FF"/>
          <w:sz w:val="52"/>
          <w:szCs w:val="52"/>
        </w:rPr>
      </w:pPr>
      <w:r>
        <w:rPr>
          <w:b/>
          <w:color w:val="0000FF"/>
          <w:sz w:val="52"/>
          <w:szCs w:val="52"/>
        </w:rPr>
        <w:t>DIRECTOR OF AUDIT</w:t>
      </w:r>
    </w:p>
    <w:p w:rsidR="00423126" w:rsidRDefault="00423126" w:rsidP="002B1576">
      <w:pPr>
        <w:tabs>
          <w:tab w:val="left" w:pos="605"/>
        </w:tabs>
        <w:rPr>
          <w:b/>
          <w:color w:val="0000FF"/>
          <w:sz w:val="40"/>
          <w:szCs w:val="40"/>
        </w:rPr>
      </w:pPr>
    </w:p>
    <w:p w:rsidR="00423126" w:rsidRDefault="00423126" w:rsidP="002B1576">
      <w:pPr>
        <w:tabs>
          <w:tab w:val="left" w:pos="605"/>
        </w:tabs>
        <w:rPr>
          <w:b/>
          <w:color w:val="0000FF"/>
          <w:sz w:val="36"/>
          <w:szCs w:val="36"/>
        </w:rPr>
      </w:pPr>
      <w:r w:rsidRPr="00E40467">
        <w:rPr>
          <w:b/>
          <w:color w:val="0000FF"/>
          <w:sz w:val="36"/>
          <w:szCs w:val="36"/>
        </w:rPr>
        <w:t>ON THE ACCOUNTS OF THE</w:t>
      </w:r>
    </w:p>
    <w:p w:rsidR="00423126" w:rsidRDefault="00423126" w:rsidP="002B1576">
      <w:pPr>
        <w:tabs>
          <w:tab w:val="left" w:pos="605"/>
        </w:tabs>
        <w:rPr>
          <w:b/>
          <w:color w:val="0000FF"/>
          <w:sz w:val="36"/>
          <w:szCs w:val="36"/>
        </w:rPr>
      </w:pPr>
    </w:p>
    <w:p w:rsidR="00423126" w:rsidRPr="00E40467" w:rsidRDefault="00423126" w:rsidP="002B1576">
      <w:pPr>
        <w:tabs>
          <w:tab w:val="left" w:pos="605"/>
        </w:tabs>
        <w:rPr>
          <w:b/>
          <w:color w:val="0000FF"/>
          <w:sz w:val="36"/>
          <w:szCs w:val="36"/>
        </w:rPr>
      </w:pPr>
      <w:r w:rsidRPr="00E40467">
        <w:rPr>
          <w:b/>
          <w:color w:val="0000FF"/>
          <w:sz w:val="36"/>
          <w:szCs w:val="36"/>
        </w:rPr>
        <w:t xml:space="preserve">RODRIGUES REGIONAL ASSEMBLY </w:t>
      </w:r>
    </w:p>
    <w:p w:rsidR="00423126" w:rsidRDefault="00423126" w:rsidP="002B1576">
      <w:pPr>
        <w:tabs>
          <w:tab w:val="left" w:pos="605"/>
        </w:tabs>
        <w:rPr>
          <w:b/>
          <w:color w:val="0000FF"/>
          <w:sz w:val="36"/>
          <w:szCs w:val="36"/>
        </w:rPr>
      </w:pPr>
    </w:p>
    <w:p w:rsidR="00423126" w:rsidRPr="00E40467" w:rsidRDefault="00423126" w:rsidP="002B1576">
      <w:pPr>
        <w:tabs>
          <w:tab w:val="left" w:pos="605"/>
        </w:tabs>
        <w:rPr>
          <w:color w:val="0000FF"/>
          <w:sz w:val="36"/>
          <w:szCs w:val="36"/>
        </w:rPr>
      </w:pPr>
      <w:r w:rsidRPr="00E40467">
        <w:rPr>
          <w:b/>
          <w:color w:val="0000FF"/>
          <w:sz w:val="36"/>
          <w:szCs w:val="36"/>
        </w:rPr>
        <w:t>FOR THE YEAR ENDED 3</w:t>
      </w:r>
      <w:r>
        <w:rPr>
          <w:b/>
          <w:color w:val="0000FF"/>
          <w:sz w:val="36"/>
          <w:szCs w:val="36"/>
        </w:rPr>
        <w:t>1</w:t>
      </w:r>
      <w:r w:rsidRPr="00E40467">
        <w:rPr>
          <w:b/>
          <w:color w:val="0000FF"/>
          <w:sz w:val="36"/>
          <w:szCs w:val="36"/>
        </w:rPr>
        <w:t xml:space="preserve"> </w:t>
      </w:r>
      <w:r>
        <w:rPr>
          <w:b/>
          <w:color w:val="0000FF"/>
          <w:sz w:val="36"/>
          <w:szCs w:val="36"/>
        </w:rPr>
        <w:t>DECEMBER</w:t>
      </w:r>
      <w:r w:rsidRPr="00E40467">
        <w:rPr>
          <w:b/>
          <w:color w:val="0000FF"/>
          <w:sz w:val="36"/>
          <w:szCs w:val="36"/>
        </w:rPr>
        <w:t xml:space="preserve"> 20</w:t>
      </w:r>
      <w:r>
        <w:rPr>
          <w:b/>
          <w:color w:val="0000FF"/>
          <w:sz w:val="36"/>
          <w:szCs w:val="36"/>
        </w:rPr>
        <w:t>13</w:t>
      </w:r>
    </w:p>
    <w:p w:rsidR="00423126" w:rsidRPr="00E40467" w:rsidRDefault="00423126" w:rsidP="002B1576">
      <w:pPr>
        <w:tabs>
          <w:tab w:val="left" w:pos="605"/>
        </w:tabs>
        <w:rPr>
          <w:color w:val="0000FF"/>
          <w:sz w:val="36"/>
          <w:szCs w:val="36"/>
        </w:rPr>
      </w:pPr>
    </w:p>
    <w:p w:rsidR="00423126" w:rsidRDefault="00423126" w:rsidP="002B1576">
      <w:pPr>
        <w:tabs>
          <w:tab w:val="left" w:pos="605"/>
        </w:tabs>
        <w:rPr>
          <w:color w:val="0000FF"/>
        </w:rPr>
      </w:pPr>
    </w:p>
    <w:p w:rsidR="00423126" w:rsidRDefault="00423126" w:rsidP="002B1576">
      <w:pPr>
        <w:spacing w:after="200"/>
        <w:rPr>
          <w:color w:val="0000FF"/>
        </w:rPr>
      </w:pPr>
      <w:r>
        <w:rPr>
          <w:color w:val="0000FF"/>
        </w:rPr>
        <w:br w:type="page"/>
      </w:r>
    </w:p>
    <w:p w:rsidR="00423126" w:rsidRDefault="00423126" w:rsidP="002B1576">
      <w:pPr>
        <w:tabs>
          <w:tab w:val="left" w:pos="605"/>
        </w:tabs>
        <w:rPr>
          <w:color w:val="0000FF"/>
        </w:rPr>
      </w:pPr>
    </w:p>
    <w:p w:rsidR="00423126" w:rsidRDefault="00423126" w:rsidP="002B1576">
      <w:pPr>
        <w:tabs>
          <w:tab w:val="left" w:pos="605"/>
        </w:tabs>
        <w:rPr>
          <w:color w:val="0000FF"/>
        </w:rPr>
      </w:pPr>
    </w:p>
    <w:p w:rsidR="00423126" w:rsidRDefault="00423126" w:rsidP="002B1576">
      <w:pPr>
        <w:tabs>
          <w:tab w:val="left" w:pos="605"/>
        </w:tabs>
        <w:rPr>
          <w:color w:val="0000FF"/>
          <w:sz w:val="16"/>
          <w:szCs w:val="16"/>
        </w:rPr>
      </w:pPr>
    </w:p>
    <w:p w:rsidR="00423126" w:rsidRDefault="00423126" w:rsidP="002B1576">
      <w:pPr>
        <w:tabs>
          <w:tab w:val="left" w:pos="605"/>
        </w:tabs>
        <w:rPr>
          <w:color w:val="0000FF"/>
        </w:rPr>
      </w:pPr>
    </w:p>
    <w:p w:rsidR="00423126" w:rsidRDefault="00423126" w:rsidP="002B1576">
      <w:pPr>
        <w:tabs>
          <w:tab w:val="left" w:pos="605"/>
        </w:tabs>
        <w:rPr>
          <w:color w:val="0000FF"/>
        </w:rPr>
      </w:pPr>
    </w:p>
    <w:p w:rsidR="00423126" w:rsidRDefault="00423126" w:rsidP="002B1576">
      <w:pPr>
        <w:tabs>
          <w:tab w:val="left" w:pos="605"/>
        </w:tabs>
        <w:rPr>
          <w:color w:val="0000FF"/>
        </w:rPr>
      </w:pPr>
      <w:r>
        <w:rPr>
          <w:color w:val="0000FF"/>
        </w:rPr>
        <w:br w:type="page"/>
      </w:r>
    </w:p>
    <w:p w:rsidR="00423126" w:rsidRDefault="00423126" w:rsidP="002B1576">
      <w:pPr>
        <w:tabs>
          <w:tab w:val="left" w:pos="605"/>
        </w:tabs>
        <w:jc w:val="center"/>
        <w:rPr>
          <w:color w:val="0000FF"/>
        </w:rPr>
      </w:pPr>
      <w:r>
        <w:rPr>
          <w:b/>
          <w:smallCaps/>
          <w:color w:val="0000FF"/>
          <w:sz w:val="40"/>
          <w:szCs w:val="48"/>
        </w:rPr>
        <w:lastRenderedPageBreak/>
        <w:t>C</w:t>
      </w:r>
      <w:r>
        <w:rPr>
          <w:b/>
          <w:smallCaps/>
          <w:color w:val="0000FF"/>
          <w:sz w:val="40"/>
          <w:szCs w:val="40"/>
        </w:rPr>
        <w:t>ontents</w:t>
      </w:r>
    </w:p>
    <w:p w:rsidR="00423126" w:rsidRDefault="00423126" w:rsidP="002B1576">
      <w:pPr>
        <w:tabs>
          <w:tab w:val="left" w:pos="605"/>
        </w:tabs>
        <w:rPr>
          <w:color w:val="0000FF"/>
        </w:rPr>
      </w:pPr>
    </w:p>
    <w:p w:rsidR="00423126" w:rsidRDefault="00423126" w:rsidP="002B1576">
      <w:pPr>
        <w:tabs>
          <w:tab w:val="left" w:pos="605"/>
        </w:tabs>
        <w:rPr>
          <w:color w:val="0000FF"/>
        </w:rPr>
      </w:pPr>
    </w:p>
    <w:tbl>
      <w:tblPr>
        <w:tblW w:w="8640" w:type="dxa"/>
        <w:tblLook w:val="04A0"/>
      </w:tblPr>
      <w:tblGrid>
        <w:gridCol w:w="1183"/>
        <w:gridCol w:w="5935"/>
        <w:gridCol w:w="1522"/>
      </w:tblGrid>
      <w:tr w:rsidR="00423126" w:rsidRPr="007C4996" w:rsidTr="003C3895">
        <w:trPr>
          <w:trHeight w:val="720"/>
        </w:trPr>
        <w:tc>
          <w:tcPr>
            <w:tcW w:w="1188" w:type="dxa"/>
          </w:tcPr>
          <w:p w:rsidR="00423126" w:rsidRPr="007C4996" w:rsidRDefault="00423126" w:rsidP="002B1576">
            <w:pPr>
              <w:tabs>
                <w:tab w:val="left" w:pos="605"/>
              </w:tabs>
              <w:spacing w:after="240"/>
              <w:jc w:val="center"/>
              <w:rPr>
                <w:b/>
              </w:rPr>
            </w:pPr>
            <w:r w:rsidRPr="007C4996">
              <w:rPr>
                <w:b/>
              </w:rPr>
              <w:t>Chapter</w:t>
            </w:r>
          </w:p>
        </w:tc>
        <w:tc>
          <w:tcPr>
            <w:tcW w:w="6120" w:type="dxa"/>
          </w:tcPr>
          <w:p w:rsidR="00423126" w:rsidRPr="007C4996" w:rsidRDefault="00423126" w:rsidP="002B1576">
            <w:pPr>
              <w:tabs>
                <w:tab w:val="left" w:pos="605"/>
              </w:tabs>
              <w:spacing w:after="240"/>
              <w:jc w:val="center"/>
              <w:rPr>
                <w:b/>
              </w:rPr>
            </w:pPr>
          </w:p>
        </w:tc>
        <w:tc>
          <w:tcPr>
            <w:tcW w:w="1548" w:type="dxa"/>
          </w:tcPr>
          <w:p w:rsidR="00423126" w:rsidRPr="007C4996" w:rsidRDefault="00423126" w:rsidP="002B1576">
            <w:pPr>
              <w:tabs>
                <w:tab w:val="left" w:pos="605"/>
              </w:tabs>
              <w:spacing w:after="240"/>
              <w:jc w:val="center"/>
              <w:rPr>
                <w:b/>
              </w:rPr>
            </w:pPr>
            <w:r w:rsidRPr="007C4996">
              <w:rPr>
                <w:b/>
              </w:rPr>
              <w:t>Page</w:t>
            </w:r>
          </w:p>
        </w:tc>
      </w:tr>
      <w:tr w:rsidR="00423126" w:rsidRPr="00985260" w:rsidTr="003C3895">
        <w:trPr>
          <w:trHeight w:val="720"/>
        </w:trPr>
        <w:tc>
          <w:tcPr>
            <w:tcW w:w="1188" w:type="dxa"/>
          </w:tcPr>
          <w:p w:rsidR="00423126" w:rsidRPr="00985260" w:rsidRDefault="00423126" w:rsidP="002B1576">
            <w:pPr>
              <w:tabs>
                <w:tab w:val="left" w:pos="605"/>
              </w:tabs>
              <w:spacing w:after="240"/>
              <w:jc w:val="center"/>
            </w:pPr>
            <w:r>
              <w:t>1</w:t>
            </w:r>
          </w:p>
        </w:tc>
        <w:tc>
          <w:tcPr>
            <w:tcW w:w="6120" w:type="dxa"/>
          </w:tcPr>
          <w:p w:rsidR="00423126" w:rsidRPr="00985260" w:rsidRDefault="00423126" w:rsidP="002B1576">
            <w:pPr>
              <w:tabs>
                <w:tab w:val="left" w:pos="605"/>
              </w:tabs>
              <w:spacing w:after="240"/>
            </w:pPr>
            <w:r>
              <w:t>Introduction</w:t>
            </w:r>
          </w:p>
        </w:tc>
        <w:tc>
          <w:tcPr>
            <w:tcW w:w="1548" w:type="dxa"/>
          </w:tcPr>
          <w:p w:rsidR="00423126" w:rsidRPr="00985260" w:rsidRDefault="007F5D9A" w:rsidP="007F5D9A">
            <w:pPr>
              <w:tabs>
                <w:tab w:val="left" w:pos="605"/>
              </w:tabs>
              <w:spacing w:after="240"/>
              <w:ind w:right="478"/>
              <w:jc w:val="right"/>
            </w:pPr>
            <w:r>
              <w:t>1</w:t>
            </w:r>
          </w:p>
        </w:tc>
      </w:tr>
      <w:tr w:rsidR="00423126" w:rsidRPr="00985260" w:rsidTr="003C3895">
        <w:trPr>
          <w:trHeight w:val="720"/>
        </w:trPr>
        <w:tc>
          <w:tcPr>
            <w:tcW w:w="1188" w:type="dxa"/>
          </w:tcPr>
          <w:p w:rsidR="00423126" w:rsidRPr="00985260" w:rsidRDefault="00423126" w:rsidP="002B1576">
            <w:pPr>
              <w:tabs>
                <w:tab w:val="left" w:pos="605"/>
              </w:tabs>
              <w:spacing w:after="240"/>
              <w:jc w:val="center"/>
            </w:pPr>
            <w:r>
              <w:t>2</w:t>
            </w:r>
          </w:p>
        </w:tc>
        <w:tc>
          <w:tcPr>
            <w:tcW w:w="6120" w:type="dxa"/>
          </w:tcPr>
          <w:p w:rsidR="00423126" w:rsidRPr="00985260" w:rsidRDefault="00423126" w:rsidP="002B1576">
            <w:pPr>
              <w:tabs>
                <w:tab w:val="left" w:pos="605"/>
              </w:tabs>
              <w:spacing w:after="240"/>
            </w:pPr>
            <w:r>
              <w:t>Annual Financial Statements</w:t>
            </w:r>
          </w:p>
        </w:tc>
        <w:tc>
          <w:tcPr>
            <w:tcW w:w="1548" w:type="dxa"/>
          </w:tcPr>
          <w:p w:rsidR="00423126" w:rsidRPr="00985260" w:rsidRDefault="007F5D9A" w:rsidP="007F5D9A">
            <w:pPr>
              <w:tabs>
                <w:tab w:val="left" w:pos="605"/>
              </w:tabs>
              <w:spacing w:after="240"/>
              <w:ind w:right="478"/>
              <w:jc w:val="right"/>
            </w:pPr>
            <w:r>
              <w:t>3</w:t>
            </w:r>
          </w:p>
        </w:tc>
      </w:tr>
      <w:tr w:rsidR="00423126" w:rsidRPr="00985260" w:rsidTr="003C3895">
        <w:trPr>
          <w:trHeight w:val="720"/>
        </w:trPr>
        <w:tc>
          <w:tcPr>
            <w:tcW w:w="1188" w:type="dxa"/>
          </w:tcPr>
          <w:p w:rsidR="00423126" w:rsidRPr="00985260" w:rsidRDefault="00423126" w:rsidP="002B1576">
            <w:pPr>
              <w:tabs>
                <w:tab w:val="left" w:pos="605"/>
              </w:tabs>
              <w:spacing w:after="240"/>
              <w:jc w:val="center"/>
            </w:pPr>
            <w:r>
              <w:t>3</w:t>
            </w:r>
          </w:p>
        </w:tc>
        <w:tc>
          <w:tcPr>
            <w:tcW w:w="6120" w:type="dxa"/>
          </w:tcPr>
          <w:p w:rsidR="00423126" w:rsidRPr="00985260" w:rsidRDefault="00423126" w:rsidP="002B1576">
            <w:pPr>
              <w:tabs>
                <w:tab w:val="left" w:pos="605"/>
              </w:tabs>
              <w:spacing w:after="240"/>
            </w:pPr>
            <w:r>
              <w:t>Chief Commissioner’s Office</w:t>
            </w:r>
          </w:p>
        </w:tc>
        <w:tc>
          <w:tcPr>
            <w:tcW w:w="1548" w:type="dxa"/>
          </w:tcPr>
          <w:p w:rsidR="00423126" w:rsidRPr="00985260" w:rsidRDefault="007F5D9A" w:rsidP="007F5D9A">
            <w:pPr>
              <w:tabs>
                <w:tab w:val="left" w:pos="605"/>
              </w:tabs>
              <w:spacing w:after="240"/>
              <w:ind w:right="478"/>
              <w:jc w:val="right"/>
            </w:pPr>
            <w:r>
              <w:t>14</w:t>
            </w:r>
          </w:p>
        </w:tc>
      </w:tr>
      <w:tr w:rsidR="00423126" w:rsidRPr="00985260" w:rsidTr="003C3895">
        <w:trPr>
          <w:trHeight w:val="513"/>
        </w:trPr>
        <w:tc>
          <w:tcPr>
            <w:tcW w:w="1188" w:type="dxa"/>
          </w:tcPr>
          <w:p w:rsidR="00423126" w:rsidRPr="00985260" w:rsidRDefault="00423126" w:rsidP="002B1576">
            <w:pPr>
              <w:tabs>
                <w:tab w:val="left" w:pos="605"/>
              </w:tabs>
              <w:jc w:val="center"/>
            </w:pPr>
            <w:r>
              <w:t>4</w:t>
            </w:r>
          </w:p>
        </w:tc>
        <w:tc>
          <w:tcPr>
            <w:tcW w:w="6120" w:type="dxa"/>
          </w:tcPr>
          <w:p w:rsidR="00423126" w:rsidRPr="00985260" w:rsidRDefault="00423126" w:rsidP="002B1576">
            <w:pPr>
              <w:jc w:val="both"/>
            </w:pPr>
            <w:r>
              <w:t>Commission for Public Infrastructure, Water Resources, Housing and Land Transport</w:t>
            </w:r>
          </w:p>
        </w:tc>
        <w:tc>
          <w:tcPr>
            <w:tcW w:w="1548" w:type="dxa"/>
            <w:vAlign w:val="bottom"/>
          </w:tcPr>
          <w:p w:rsidR="00423126" w:rsidRPr="00985260" w:rsidRDefault="007F5D9A" w:rsidP="00AE695E">
            <w:pPr>
              <w:tabs>
                <w:tab w:val="left" w:pos="605"/>
              </w:tabs>
              <w:ind w:right="478"/>
              <w:jc w:val="right"/>
            </w:pPr>
            <w:r>
              <w:t>24</w:t>
            </w:r>
          </w:p>
        </w:tc>
      </w:tr>
      <w:tr w:rsidR="00423126" w:rsidRPr="00985260" w:rsidTr="003C3895">
        <w:trPr>
          <w:trHeight w:val="1134"/>
        </w:trPr>
        <w:tc>
          <w:tcPr>
            <w:tcW w:w="1188" w:type="dxa"/>
            <w:vAlign w:val="center"/>
          </w:tcPr>
          <w:p w:rsidR="00423126" w:rsidRPr="00985260" w:rsidRDefault="00423126" w:rsidP="00AE695E">
            <w:pPr>
              <w:tabs>
                <w:tab w:val="left" w:pos="605"/>
              </w:tabs>
              <w:jc w:val="center"/>
            </w:pPr>
            <w:r>
              <w:t>5</w:t>
            </w:r>
          </w:p>
        </w:tc>
        <w:tc>
          <w:tcPr>
            <w:tcW w:w="6120" w:type="dxa"/>
            <w:vAlign w:val="center"/>
          </w:tcPr>
          <w:p w:rsidR="00423126" w:rsidRPr="00985260" w:rsidRDefault="00423126" w:rsidP="00AE695E">
            <w:r>
              <w:t>Commission for Health and Sports</w:t>
            </w:r>
          </w:p>
        </w:tc>
        <w:tc>
          <w:tcPr>
            <w:tcW w:w="1548" w:type="dxa"/>
            <w:vAlign w:val="center"/>
          </w:tcPr>
          <w:p w:rsidR="00423126" w:rsidRPr="00985260" w:rsidRDefault="007F5D9A" w:rsidP="00AE695E">
            <w:pPr>
              <w:tabs>
                <w:tab w:val="left" w:pos="605"/>
              </w:tabs>
              <w:ind w:right="478"/>
              <w:jc w:val="right"/>
            </w:pPr>
            <w:r>
              <w:t>29</w:t>
            </w:r>
          </w:p>
        </w:tc>
      </w:tr>
      <w:tr w:rsidR="00423126" w:rsidRPr="00985260" w:rsidTr="003C3895">
        <w:trPr>
          <w:trHeight w:val="549"/>
        </w:trPr>
        <w:tc>
          <w:tcPr>
            <w:tcW w:w="1188" w:type="dxa"/>
          </w:tcPr>
          <w:p w:rsidR="00423126" w:rsidRDefault="00423126" w:rsidP="002B1576">
            <w:pPr>
              <w:tabs>
                <w:tab w:val="left" w:pos="605"/>
              </w:tabs>
              <w:spacing w:after="240"/>
              <w:jc w:val="center"/>
            </w:pPr>
            <w:r>
              <w:t>6</w:t>
            </w:r>
          </w:p>
        </w:tc>
        <w:tc>
          <w:tcPr>
            <w:tcW w:w="6120" w:type="dxa"/>
          </w:tcPr>
          <w:p w:rsidR="00423126" w:rsidRDefault="00423126" w:rsidP="00AE695E">
            <w:pPr>
              <w:jc w:val="both"/>
            </w:pPr>
            <w:r>
              <w:t>Commission for Environment, Forestry, Tourism, Marine Parks and Fisheries</w:t>
            </w:r>
          </w:p>
        </w:tc>
        <w:tc>
          <w:tcPr>
            <w:tcW w:w="1548" w:type="dxa"/>
            <w:vAlign w:val="bottom"/>
          </w:tcPr>
          <w:p w:rsidR="00423126" w:rsidRPr="00985260" w:rsidRDefault="007F5D9A" w:rsidP="00AE695E">
            <w:pPr>
              <w:tabs>
                <w:tab w:val="left" w:pos="605"/>
              </w:tabs>
              <w:ind w:right="478"/>
              <w:jc w:val="right"/>
            </w:pPr>
            <w:r>
              <w:t>31</w:t>
            </w:r>
          </w:p>
        </w:tc>
      </w:tr>
    </w:tbl>
    <w:p w:rsidR="00423126" w:rsidRDefault="00423126" w:rsidP="002B1576">
      <w:pPr>
        <w:tabs>
          <w:tab w:val="left" w:pos="605"/>
        </w:tabs>
        <w:rPr>
          <w:color w:val="0000FF"/>
        </w:rPr>
      </w:pPr>
    </w:p>
    <w:p w:rsidR="00F957A9" w:rsidRDefault="00F957A9" w:rsidP="002B1576">
      <w:pPr>
        <w:spacing w:after="200"/>
        <w:rPr>
          <w:color w:val="0000FF"/>
        </w:rPr>
      </w:pPr>
      <w:r>
        <w:rPr>
          <w:color w:val="0000FF"/>
        </w:rPr>
        <w:br w:type="page"/>
      </w:r>
    </w:p>
    <w:p w:rsidR="00F957A9" w:rsidRDefault="00F957A9" w:rsidP="002B1576">
      <w:pPr>
        <w:tabs>
          <w:tab w:val="left" w:pos="605"/>
        </w:tabs>
        <w:rPr>
          <w:color w:val="0000FF"/>
        </w:rPr>
      </w:pPr>
    </w:p>
    <w:p w:rsidR="00F957A9" w:rsidRDefault="00F957A9" w:rsidP="002B1576">
      <w:pPr>
        <w:tabs>
          <w:tab w:val="left" w:pos="605"/>
        </w:tabs>
        <w:rPr>
          <w:color w:val="0000FF"/>
        </w:rPr>
      </w:pPr>
    </w:p>
    <w:p w:rsidR="00F957A9" w:rsidRDefault="00F957A9" w:rsidP="002B1576">
      <w:pPr>
        <w:tabs>
          <w:tab w:val="left" w:pos="605"/>
        </w:tabs>
        <w:rPr>
          <w:color w:val="0000FF"/>
        </w:rPr>
      </w:pPr>
    </w:p>
    <w:p w:rsidR="00F957A9" w:rsidRDefault="00F957A9" w:rsidP="002B1576">
      <w:pPr>
        <w:tabs>
          <w:tab w:val="left" w:pos="605"/>
        </w:tabs>
        <w:rPr>
          <w:color w:val="0000FF"/>
        </w:rPr>
      </w:pPr>
    </w:p>
    <w:p w:rsidR="00F957A9" w:rsidRDefault="00F957A9" w:rsidP="002B1576">
      <w:pPr>
        <w:tabs>
          <w:tab w:val="left" w:pos="605"/>
        </w:tabs>
        <w:rPr>
          <w:color w:val="0000FF"/>
        </w:rPr>
      </w:pPr>
    </w:p>
    <w:p w:rsidR="00F957A9" w:rsidRDefault="00F957A9" w:rsidP="002B1576">
      <w:pPr>
        <w:tabs>
          <w:tab w:val="left" w:pos="605"/>
        </w:tabs>
        <w:rPr>
          <w:color w:val="0000FF"/>
        </w:rPr>
      </w:pPr>
    </w:p>
    <w:p w:rsidR="00423126" w:rsidRDefault="00423126" w:rsidP="002B1576">
      <w:pPr>
        <w:spacing w:after="200"/>
        <w:rPr>
          <w:color w:val="0000FF"/>
        </w:rPr>
      </w:pPr>
      <w:r>
        <w:rPr>
          <w:color w:val="0000FF"/>
        </w:rPr>
        <w:br w:type="page"/>
      </w:r>
    </w:p>
    <w:p w:rsidR="00423126" w:rsidRDefault="00423126" w:rsidP="002B1576">
      <w:pPr>
        <w:tabs>
          <w:tab w:val="left" w:pos="605"/>
        </w:tabs>
      </w:pPr>
    </w:p>
    <w:p w:rsidR="00B70CFC" w:rsidRDefault="00B70CFC" w:rsidP="002B1576">
      <w:pPr>
        <w:tabs>
          <w:tab w:val="left" w:pos="605"/>
        </w:tabs>
        <w:jc w:val="center"/>
        <w:sectPr w:rsidR="00B70CFC" w:rsidSect="00621FE7">
          <w:headerReference w:type="default" r:id="rId8"/>
          <w:footerReference w:type="first" r:id="rId9"/>
          <w:pgSz w:w="11907" w:h="16839" w:code="9"/>
          <w:pgMar w:top="1440" w:right="1440" w:bottom="1440" w:left="1440" w:header="706" w:footer="432" w:gutter="0"/>
          <w:cols w:space="708"/>
          <w:titlePg/>
          <w:docGrid w:linePitch="326"/>
        </w:sectPr>
      </w:pPr>
    </w:p>
    <w:p w:rsidR="00423126" w:rsidRDefault="00423126" w:rsidP="002B1576">
      <w:pPr>
        <w:tabs>
          <w:tab w:val="left" w:pos="605"/>
        </w:tabs>
        <w:jc w:val="center"/>
        <w:rPr>
          <w:b/>
          <w:smallCaps/>
          <w:color w:val="0000FF"/>
          <w:sz w:val="40"/>
          <w:szCs w:val="40"/>
        </w:rPr>
      </w:pPr>
      <w:r>
        <w:rPr>
          <w:b/>
          <w:smallCaps/>
          <w:color w:val="0000FF"/>
          <w:sz w:val="48"/>
          <w:szCs w:val="48"/>
        </w:rPr>
        <w:lastRenderedPageBreak/>
        <w:t>l</w:t>
      </w:r>
      <w:r>
        <w:rPr>
          <w:b/>
          <w:smallCaps/>
          <w:color w:val="0000FF"/>
          <w:sz w:val="40"/>
          <w:szCs w:val="40"/>
        </w:rPr>
        <w:t xml:space="preserve">ist </w:t>
      </w:r>
      <w:r>
        <w:rPr>
          <w:b/>
          <w:smallCaps/>
          <w:color w:val="0000FF"/>
          <w:sz w:val="48"/>
          <w:szCs w:val="48"/>
        </w:rPr>
        <w:t>o</w:t>
      </w:r>
      <w:r>
        <w:rPr>
          <w:b/>
          <w:smallCaps/>
          <w:color w:val="0000FF"/>
          <w:sz w:val="40"/>
          <w:szCs w:val="40"/>
        </w:rPr>
        <w:t xml:space="preserve">f </w:t>
      </w:r>
      <w:r>
        <w:rPr>
          <w:b/>
          <w:smallCaps/>
          <w:color w:val="0000FF"/>
          <w:sz w:val="48"/>
          <w:szCs w:val="48"/>
        </w:rPr>
        <w:t>t</w:t>
      </w:r>
      <w:r>
        <w:rPr>
          <w:b/>
          <w:smallCaps/>
          <w:color w:val="0000FF"/>
          <w:sz w:val="40"/>
          <w:szCs w:val="40"/>
        </w:rPr>
        <w:t>ables</w:t>
      </w:r>
    </w:p>
    <w:p w:rsidR="00423126" w:rsidRDefault="00423126" w:rsidP="002B1576">
      <w:pPr>
        <w:tabs>
          <w:tab w:val="left" w:pos="605"/>
        </w:tabs>
        <w:jc w:val="center"/>
        <w:rPr>
          <w:b/>
          <w:sz w:val="40"/>
          <w:szCs w:val="40"/>
        </w:rPr>
      </w:pPr>
    </w:p>
    <w:tbl>
      <w:tblPr>
        <w:tblW w:w="8861" w:type="dxa"/>
        <w:jc w:val="center"/>
        <w:tblLook w:val="0000"/>
      </w:tblPr>
      <w:tblGrid>
        <w:gridCol w:w="810"/>
        <w:gridCol w:w="6794"/>
        <w:gridCol w:w="1257"/>
      </w:tblGrid>
      <w:tr w:rsidR="00423126" w:rsidTr="009C3463">
        <w:trPr>
          <w:trHeight w:val="963"/>
          <w:jc w:val="center"/>
        </w:trPr>
        <w:tc>
          <w:tcPr>
            <w:tcW w:w="810" w:type="dxa"/>
            <w:vAlign w:val="center"/>
          </w:tcPr>
          <w:p w:rsidR="00423126" w:rsidRDefault="00423126" w:rsidP="002B1576">
            <w:pPr>
              <w:pStyle w:val="Heading1"/>
              <w:tabs>
                <w:tab w:val="left" w:pos="605"/>
              </w:tabs>
              <w:jc w:val="center"/>
              <w:rPr>
                <w:rFonts w:ascii="Times New Roman" w:hAnsi="Times New Roman"/>
                <w:sz w:val="24"/>
              </w:rPr>
            </w:pPr>
            <w:r>
              <w:rPr>
                <w:rFonts w:ascii="Times New Roman" w:hAnsi="Times New Roman"/>
                <w:sz w:val="24"/>
              </w:rPr>
              <w:t>Table</w:t>
            </w:r>
          </w:p>
        </w:tc>
        <w:tc>
          <w:tcPr>
            <w:tcW w:w="6794" w:type="dxa"/>
            <w:vAlign w:val="center"/>
          </w:tcPr>
          <w:p w:rsidR="00423126" w:rsidRDefault="00423126" w:rsidP="002B1576">
            <w:pPr>
              <w:pStyle w:val="Heading2"/>
              <w:tabs>
                <w:tab w:val="left" w:pos="605"/>
              </w:tabs>
              <w:rPr>
                <w:szCs w:val="40"/>
                <w:lang w:val="en-US"/>
              </w:rPr>
            </w:pPr>
            <w:r>
              <w:rPr>
                <w:szCs w:val="40"/>
                <w:lang w:val="en-US"/>
              </w:rPr>
              <w:t>Description</w:t>
            </w:r>
          </w:p>
        </w:tc>
        <w:tc>
          <w:tcPr>
            <w:tcW w:w="1257" w:type="dxa"/>
            <w:vAlign w:val="center"/>
          </w:tcPr>
          <w:p w:rsidR="00423126" w:rsidRDefault="00423126" w:rsidP="00034156">
            <w:pPr>
              <w:pStyle w:val="Heading2"/>
              <w:tabs>
                <w:tab w:val="left" w:pos="470"/>
              </w:tabs>
              <w:ind w:left="-160" w:right="89" w:hanging="160"/>
              <w:jc w:val="right"/>
              <w:rPr>
                <w:szCs w:val="40"/>
                <w:lang w:val="en-US"/>
              </w:rPr>
            </w:pPr>
            <w:r>
              <w:rPr>
                <w:szCs w:val="40"/>
                <w:lang w:val="en-US"/>
              </w:rPr>
              <w:t>Page</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1</w:t>
            </w:r>
          </w:p>
        </w:tc>
        <w:tc>
          <w:tcPr>
            <w:tcW w:w="6794" w:type="dxa"/>
          </w:tcPr>
          <w:p w:rsidR="00BD502D" w:rsidRDefault="00BD502D" w:rsidP="002B1576">
            <w:pPr>
              <w:tabs>
                <w:tab w:val="left" w:pos="605"/>
              </w:tabs>
              <w:rPr>
                <w:b/>
                <w:szCs w:val="40"/>
              </w:rPr>
            </w:pPr>
            <w:r>
              <w:t>Assets and Liabilities as of 31 December</w:t>
            </w:r>
          </w:p>
        </w:tc>
        <w:tc>
          <w:tcPr>
            <w:tcW w:w="1257" w:type="dxa"/>
          </w:tcPr>
          <w:p w:rsidR="00BD502D" w:rsidRDefault="00034156" w:rsidP="009C3463">
            <w:pPr>
              <w:tabs>
                <w:tab w:val="left" w:pos="470"/>
              </w:tabs>
              <w:ind w:left="-160" w:right="376" w:hanging="160"/>
              <w:jc w:val="right"/>
              <w:rPr>
                <w:bCs/>
                <w:szCs w:val="40"/>
              </w:rPr>
            </w:pPr>
            <w:r>
              <w:rPr>
                <w:bCs/>
                <w:szCs w:val="40"/>
              </w:rPr>
              <w:t>4</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2</w:t>
            </w:r>
          </w:p>
        </w:tc>
        <w:tc>
          <w:tcPr>
            <w:tcW w:w="6794" w:type="dxa"/>
          </w:tcPr>
          <w:p w:rsidR="00BD502D" w:rsidRDefault="00BD502D" w:rsidP="002B1576">
            <w:pPr>
              <w:tabs>
                <w:tab w:val="left" w:pos="605"/>
              </w:tabs>
              <w:rPr>
                <w:szCs w:val="40"/>
              </w:rPr>
            </w:pPr>
            <w:r>
              <w:rPr>
                <w:szCs w:val="40"/>
              </w:rPr>
              <w:t>Advances as of 31 December 2013</w:t>
            </w:r>
          </w:p>
        </w:tc>
        <w:tc>
          <w:tcPr>
            <w:tcW w:w="1257" w:type="dxa"/>
          </w:tcPr>
          <w:p w:rsidR="00BD502D" w:rsidRDefault="00034156" w:rsidP="009C3463">
            <w:pPr>
              <w:tabs>
                <w:tab w:val="left" w:pos="470"/>
              </w:tabs>
              <w:ind w:left="-160" w:right="376" w:hanging="160"/>
              <w:jc w:val="right"/>
              <w:rPr>
                <w:bCs/>
                <w:szCs w:val="40"/>
              </w:rPr>
            </w:pPr>
            <w:r>
              <w:rPr>
                <w:bCs/>
                <w:szCs w:val="40"/>
              </w:rPr>
              <w:t>5</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3</w:t>
            </w:r>
          </w:p>
        </w:tc>
        <w:tc>
          <w:tcPr>
            <w:tcW w:w="6794" w:type="dxa"/>
          </w:tcPr>
          <w:p w:rsidR="00BD502D" w:rsidRDefault="00BD502D" w:rsidP="002B1576">
            <w:pPr>
              <w:tabs>
                <w:tab w:val="left" w:pos="605"/>
              </w:tabs>
              <w:rPr>
                <w:szCs w:val="40"/>
              </w:rPr>
            </w:pPr>
            <w:r>
              <w:rPr>
                <w:szCs w:val="40"/>
              </w:rPr>
              <w:t>Revenue collected by RRA during the past three fiscal years</w:t>
            </w:r>
          </w:p>
        </w:tc>
        <w:tc>
          <w:tcPr>
            <w:tcW w:w="1257" w:type="dxa"/>
          </w:tcPr>
          <w:p w:rsidR="00BD502D" w:rsidRDefault="00034156" w:rsidP="009C3463">
            <w:pPr>
              <w:tabs>
                <w:tab w:val="left" w:pos="470"/>
              </w:tabs>
              <w:ind w:left="-160" w:right="376" w:hanging="160"/>
              <w:jc w:val="right"/>
              <w:rPr>
                <w:bCs/>
                <w:szCs w:val="40"/>
              </w:rPr>
            </w:pPr>
            <w:r>
              <w:rPr>
                <w:bCs/>
                <w:szCs w:val="40"/>
              </w:rPr>
              <w:t>8</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4</w:t>
            </w:r>
          </w:p>
        </w:tc>
        <w:tc>
          <w:tcPr>
            <w:tcW w:w="6794" w:type="dxa"/>
          </w:tcPr>
          <w:p w:rsidR="00BD502D" w:rsidRDefault="00BD502D" w:rsidP="002B1576">
            <w:pPr>
              <w:tabs>
                <w:tab w:val="left" w:pos="605"/>
              </w:tabs>
              <w:rPr>
                <w:szCs w:val="40"/>
              </w:rPr>
            </w:pPr>
            <w:r>
              <w:rPr>
                <w:szCs w:val="40"/>
              </w:rPr>
              <w:t>Total expenditure for the past three fiscal years</w:t>
            </w:r>
          </w:p>
        </w:tc>
        <w:tc>
          <w:tcPr>
            <w:tcW w:w="1257" w:type="dxa"/>
          </w:tcPr>
          <w:p w:rsidR="00BD502D" w:rsidRDefault="00034156" w:rsidP="009C3463">
            <w:pPr>
              <w:tabs>
                <w:tab w:val="left" w:pos="470"/>
              </w:tabs>
              <w:ind w:left="-160" w:right="376" w:hanging="160"/>
              <w:jc w:val="right"/>
              <w:rPr>
                <w:bCs/>
                <w:szCs w:val="40"/>
              </w:rPr>
            </w:pPr>
            <w:r>
              <w:rPr>
                <w:bCs/>
                <w:szCs w:val="40"/>
              </w:rPr>
              <w:t>9</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5</w:t>
            </w:r>
          </w:p>
        </w:tc>
        <w:tc>
          <w:tcPr>
            <w:tcW w:w="6794" w:type="dxa"/>
          </w:tcPr>
          <w:p w:rsidR="00BD502D" w:rsidRDefault="00BD502D" w:rsidP="002B1576">
            <w:pPr>
              <w:tabs>
                <w:tab w:val="left" w:pos="605"/>
              </w:tabs>
              <w:rPr>
                <w:szCs w:val="40"/>
              </w:rPr>
            </w:pPr>
            <w:r>
              <w:rPr>
                <w:szCs w:val="40"/>
              </w:rPr>
              <w:t xml:space="preserve">Investments of RRA in Private Companies as of 31 December 2013 </w:t>
            </w:r>
          </w:p>
        </w:tc>
        <w:tc>
          <w:tcPr>
            <w:tcW w:w="1257" w:type="dxa"/>
          </w:tcPr>
          <w:p w:rsidR="00BD502D" w:rsidRDefault="00034156" w:rsidP="009C3463">
            <w:pPr>
              <w:tabs>
                <w:tab w:val="left" w:pos="470"/>
              </w:tabs>
              <w:ind w:left="-160" w:right="376" w:hanging="160"/>
              <w:jc w:val="right"/>
              <w:rPr>
                <w:bCs/>
                <w:szCs w:val="40"/>
              </w:rPr>
            </w:pPr>
            <w:r>
              <w:rPr>
                <w:bCs/>
                <w:szCs w:val="40"/>
              </w:rPr>
              <w:t>10</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6</w:t>
            </w:r>
          </w:p>
        </w:tc>
        <w:tc>
          <w:tcPr>
            <w:tcW w:w="6794" w:type="dxa"/>
          </w:tcPr>
          <w:p w:rsidR="00BD502D" w:rsidRDefault="00BD502D" w:rsidP="002B1576">
            <w:pPr>
              <w:tabs>
                <w:tab w:val="left" w:pos="605"/>
              </w:tabs>
              <w:rPr>
                <w:b/>
                <w:szCs w:val="40"/>
              </w:rPr>
            </w:pPr>
            <w:r>
              <w:rPr>
                <w:szCs w:val="40"/>
              </w:rPr>
              <w:t>Arrears of Revenue for the past three fiscal years</w:t>
            </w:r>
          </w:p>
        </w:tc>
        <w:tc>
          <w:tcPr>
            <w:tcW w:w="1257" w:type="dxa"/>
          </w:tcPr>
          <w:p w:rsidR="00BD502D" w:rsidRDefault="00034156" w:rsidP="009C3463">
            <w:pPr>
              <w:tabs>
                <w:tab w:val="left" w:pos="470"/>
              </w:tabs>
              <w:ind w:left="-160" w:right="376" w:hanging="160"/>
              <w:jc w:val="right"/>
              <w:rPr>
                <w:bCs/>
                <w:szCs w:val="40"/>
              </w:rPr>
            </w:pPr>
            <w:r>
              <w:rPr>
                <w:bCs/>
                <w:szCs w:val="40"/>
              </w:rPr>
              <w:t>11</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7</w:t>
            </w:r>
          </w:p>
        </w:tc>
        <w:tc>
          <w:tcPr>
            <w:tcW w:w="6794" w:type="dxa"/>
          </w:tcPr>
          <w:p w:rsidR="00BD502D" w:rsidRPr="00945025" w:rsidRDefault="00BD502D" w:rsidP="002B1576">
            <w:pPr>
              <w:tabs>
                <w:tab w:val="left" w:pos="605"/>
              </w:tabs>
              <w:rPr>
                <w:szCs w:val="40"/>
              </w:rPr>
            </w:pPr>
            <w:r w:rsidRPr="00945025">
              <w:rPr>
                <w:szCs w:val="40"/>
              </w:rPr>
              <w:t xml:space="preserve">Arrears of </w:t>
            </w:r>
            <w:r>
              <w:rPr>
                <w:szCs w:val="40"/>
              </w:rPr>
              <w:t>Revenue in respect of leases</w:t>
            </w:r>
          </w:p>
        </w:tc>
        <w:tc>
          <w:tcPr>
            <w:tcW w:w="1257" w:type="dxa"/>
          </w:tcPr>
          <w:p w:rsidR="00BD502D" w:rsidRDefault="00034156" w:rsidP="009C3463">
            <w:pPr>
              <w:tabs>
                <w:tab w:val="left" w:pos="470"/>
              </w:tabs>
              <w:ind w:left="-160" w:right="376" w:hanging="160"/>
              <w:jc w:val="right"/>
              <w:rPr>
                <w:bCs/>
                <w:szCs w:val="40"/>
              </w:rPr>
            </w:pPr>
            <w:r>
              <w:rPr>
                <w:bCs/>
                <w:szCs w:val="40"/>
              </w:rPr>
              <w:t>12</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8</w:t>
            </w:r>
          </w:p>
        </w:tc>
        <w:tc>
          <w:tcPr>
            <w:tcW w:w="6794" w:type="dxa"/>
          </w:tcPr>
          <w:p w:rsidR="00BD502D" w:rsidRPr="00945025" w:rsidRDefault="00BD502D" w:rsidP="00A15EB2">
            <w:pPr>
              <w:tabs>
                <w:tab w:val="left" w:pos="605"/>
              </w:tabs>
              <w:rPr>
                <w:szCs w:val="40"/>
              </w:rPr>
            </w:pPr>
            <w:r>
              <w:rPr>
                <w:szCs w:val="40"/>
              </w:rPr>
              <w:t>Funds granted to Companies during fiscal year 2013</w:t>
            </w:r>
          </w:p>
        </w:tc>
        <w:tc>
          <w:tcPr>
            <w:tcW w:w="1257" w:type="dxa"/>
          </w:tcPr>
          <w:p w:rsidR="00BD502D" w:rsidRDefault="00034156" w:rsidP="009C3463">
            <w:pPr>
              <w:tabs>
                <w:tab w:val="left" w:pos="470"/>
              </w:tabs>
              <w:ind w:left="-160" w:right="376" w:hanging="160"/>
              <w:jc w:val="right"/>
              <w:rPr>
                <w:bCs/>
                <w:szCs w:val="40"/>
              </w:rPr>
            </w:pPr>
            <w:r>
              <w:rPr>
                <w:bCs/>
                <w:szCs w:val="40"/>
              </w:rPr>
              <w:t>15</w:t>
            </w:r>
          </w:p>
        </w:tc>
      </w:tr>
      <w:tr w:rsidR="00BD502D" w:rsidTr="009C3463">
        <w:trPr>
          <w:trHeight w:val="720"/>
          <w:jc w:val="center"/>
        </w:trPr>
        <w:tc>
          <w:tcPr>
            <w:tcW w:w="810" w:type="dxa"/>
          </w:tcPr>
          <w:p w:rsidR="00BD502D" w:rsidRDefault="00BD502D" w:rsidP="002B1576">
            <w:pPr>
              <w:tabs>
                <w:tab w:val="left" w:pos="605"/>
              </w:tabs>
              <w:jc w:val="center"/>
              <w:rPr>
                <w:bCs/>
                <w:szCs w:val="40"/>
              </w:rPr>
            </w:pPr>
            <w:r>
              <w:rPr>
                <w:bCs/>
                <w:szCs w:val="40"/>
              </w:rPr>
              <w:t>9</w:t>
            </w:r>
          </w:p>
        </w:tc>
        <w:tc>
          <w:tcPr>
            <w:tcW w:w="6794" w:type="dxa"/>
          </w:tcPr>
          <w:p w:rsidR="00BD502D" w:rsidRDefault="00BD502D" w:rsidP="002B1576">
            <w:pPr>
              <w:tabs>
                <w:tab w:val="left" w:pos="605"/>
              </w:tabs>
              <w:rPr>
                <w:szCs w:val="40"/>
              </w:rPr>
            </w:pPr>
            <w:r>
              <w:rPr>
                <w:szCs w:val="40"/>
              </w:rPr>
              <w:t>Details for Projects 1 to 4</w:t>
            </w:r>
          </w:p>
        </w:tc>
        <w:tc>
          <w:tcPr>
            <w:tcW w:w="1257" w:type="dxa"/>
          </w:tcPr>
          <w:p w:rsidR="00BD502D" w:rsidRDefault="00034156" w:rsidP="009C3463">
            <w:pPr>
              <w:tabs>
                <w:tab w:val="left" w:pos="470"/>
              </w:tabs>
              <w:ind w:left="-160" w:right="376" w:hanging="160"/>
              <w:jc w:val="right"/>
              <w:rPr>
                <w:bCs/>
                <w:szCs w:val="40"/>
              </w:rPr>
            </w:pPr>
            <w:r>
              <w:rPr>
                <w:bCs/>
                <w:szCs w:val="40"/>
              </w:rPr>
              <w:t>16</w:t>
            </w:r>
          </w:p>
        </w:tc>
      </w:tr>
      <w:tr w:rsidR="00BD502D" w:rsidTr="009C3463">
        <w:trPr>
          <w:trHeight w:val="720"/>
          <w:jc w:val="center"/>
        </w:trPr>
        <w:tc>
          <w:tcPr>
            <w:tcW w:w="810" w:type="dxa"/>
          </w:tcPr>
          <w:p w:rsidR="00BD502D" w:rsidRDefault="00BD502D" w:rsidP="002B1576">
            <w:pPr>
              <w:tabs>
                <w:tab w:val="left" w:pos="605"/>
              </w:tabs>
              <w:jc w:val="center"/>
              <w:rPr>
                <w:bCs/>
                <w:szCs w:val="40"/>
              </w:rPr>
            </w:pPr>
          </w:p>
        </w:tc>
        <w:tc>
          <w:tcPr>
            <w:tcW w:w="6794" w:type="dxa"/>
          </w:tcPr>
          <w:p w:rsidR="00BD502D" w:rsidRDefault="00BD502D" w:rsidP="002B1576">
            <w:pPr>
              <w:tabs>
                <w:tab w:val="left" w:pos="605"/>
              </w:tabs>
              <w:rPr>
                <w:b/>
                <w:szCs w:val="40"/>
              </w:rPr>
            </w:pPr>
          </w:p>
        </w:tc>
        <w:tc>
          <w:tcPr>
            <w:tcW w:w="1257" w:type="dxa"/>
          </w:tcPr>
          <w:p w:rsidR="00BD502D" w:rsidRDefault="00BD502D" w:rsidP="009C3463">
            <w:pPr>
              <w:tabs>
                <w:tab w:val="left" w:pos="605"/>
              </w:tabs>
              <w:ind w:right="376"/>
              <w:jc w:val="right"/>
              <w:rPr>
                <w:b/>
                <w:szCs w:val="40"/>
              </w:rPr>
            </w:pPr>
          </w:p>
        </w:tc>
      </w:tr>
      <w:tr w:rsidR="00BD502D" w:rsidTr="009C3463">
        <w:trPr>
          <w:trHeight w:val="720"/>
          <w:jc w:val="center"/>
        </w:trPr>
        <w:tc>
          <w:tcPr>
            <w:tcW w:w="810" w:type="dxa"/>
          </w:tcPr>
          <w:p w:rsidR="00BD502D" w:rsidRDefault="00BD502D" w:rsidP="002B1576">
            <w:pPr>
              <w:tabs>
                <w:tab w:val="left" w:pos="605"/>
              </w:tabs>
              <w:jc w:val="center"/>
              <w:rPr>
                <w:bCs/>
                <w:szCs w:val="40"/>
              </w:rPr>
            </w:pPr>
          </w:p>
        </w:tc>
        <w:tc>
          <w:tcPr>
            <w:tcW w:w="6794" w:type="dxa"/>
          </w:tcPr>
          <w:p w:rsidR="00BD502D" w:rsidRDefault="00BD502D" w:rsidP="002B1576">
            <w:pPr>
              <w:tabs>
                <w:tab w:val="left" w:pos="605"/>
              </w:tabs>
              <w:rPr>
                <w:b/>
                <w:szCs w:val="40"/>
              </w:rPr>
            </w:pPr>
          </w:p>
        </w:tc>
        <w:tc>
          <w:tcPr>
            <w:tcW w:w="1257" w:type="dxa"/>
          </w:tcPr>
          <w:p w:rsidR="00BD502D" w:rsidRDefault="00BD502D" w:rsidP="009C3463">
            <w:pPr>
              <w:tabs>
                <w:tab w:val="left" w:pos="605"/>
              </w:tabs>
              <w:ind w:right="376"/>
              <w:jc w:val="right"/>
              <w:rPr>
                <w:b/>
                <w:szCs w:val="40"/>
              </w:rPr>
            </w:pPr>
          </w:p>
        </w:tc>
      </w:tr>
    </w:tbl>
    <w:p w:rsidR="00423126" w:rsidRDefault="00423126" w:rsidP="002B1576">
      <w:pPr>
        <w:tabs>
          <w:tab w:val="left" w:pos="605"/>
        </w:tabs>
        <w:jc w:val="center"/>
        <w:rPr>
          <w:b/>
          <w:color w:val="0000FF"/>
          <w:sz w:val="40"/>
          <w:szCs w:val="40"/>
        </w:rPr>
      </w:pPr>
    </w:p>
    <w:p w:rsidR="00F957A9" w:rsidRDefault="00F957A9" w:rsidP="002B1576">
      <w:pPr>
        <w:spacing w:after="200"/>
        <w:rPr>
          <w:b/>
          <w:color w:val="0000FF"/>
          <w:sz w:val="40"/>
          <w:szCs w:val="40"/>
        </w:rPr>
      </w:pPr>
      <w:r>
        <w:rPr>
          <w:b/>
          <w:color w:val="0000FF"/>
          <w:sz w:val="40"/>
          <w:szCs w:val="40"/>
        </w:rPr>
        <w:br w:type="page"/>
      </w:r>
    </w:p>
    <w:p w:rsidR="00F957A9" w:rsidRDefault="00F957A9" w:rsidP="002B1576">
      <w:pPr>
        <w:tabs>
          <w:tab w:val="left" w:pos="605"/>
        </w:tabs>
        <w:jc w:val="center"/>
        <w:rPr>
          <w:b/>
          <w:color w:val="0000FF"/>
          <w:sz w:val="40"/>
          <w:szCs w:val="40"/>
        </w:rPr>
      </w:pPr>
    </w:p>
    <w:p w:rsidR="00F957A9" w:rsidRDefault="00F957A9" w:rsidP="002B1576">
      <w:pPr>
        <w:tabs>
          <w:tab w:val="left" w:pos="605"/>
        </w:tabs>
        <w:jc w:val="center"/>
        <w:rPr>
          <w:b/>
          <w:color w:val="0000FF"/>
          <w:sz w:val="40"/>
          <w:szCs w:val="40"/>
        </w:rPr>
      </w:pPr>
    </w:p>
    <w:p w:rsidR="00423126" w:rsidRDefault="00423126" w:rsidP="002B1576">
      <w:pPr>
        <w:spacing w:after="200"/>
        <w:rPr>
          <w:color w:val="000000"/>
          <w:szCs w:val="24"/>
        </w:rPr>
      </w:pPr>
    </w:p>
    <w:p w:rsidR="00473B7A" w:rsidRDefault="00473B7A" w:rsidP="002B1576">
      <w:pPr>
        <w:spacing w:after="200"/>
        <w:rPr>
          <w:color w:val="000000"/>
          <w:szCs w:val="24"/>
        </w:rPr>
        <w:sectPr w:rsidR="00473B7A" w:rsidSect="00C44FDB">
          <w:headerReference w:type="default" r:id="rId10"/>
          <w:type w:val="continuous"/>
          <w:pgSz w:w="11907" w:h="16839" w:code="9"/>
          <w:pgMar w:top="1440" w:right="1440" w:bottom="1440" w:left="1440" w:header="706" w:footer="432" w:gutter="0"/>
          <w:cols w:space="708"/>
          <w:titlePg/>
          <w:docGrid w:linePitch="326"/>
        </w:sectPr>
      </w:pPr>
    </w:p>
    <w:p w:rsidR="00366561" w:rsidRDefault="00366561" w:rsidP="002B1576">
      <w:pPr>
        <w:autoSpaceDE w:val="0"/>
        <w:autoSpaceDN w:val="0"/>
        <w:adjustRightInd w:val="0"/>
        <w:jc w:val="both"/>
        <w:rPr>
          <w:color w:val="000000"/>
          <w:szCs w:val="24"/>
        </w:rPr>
      </w:pPr>
    </w:p>
    <w:p w:rsidR="00366561" w:rsidRDefault="00366561" w:rsidP="002B1576">
      <w:pPr>
        <w:autoSpaceDE w:val="0"/>
        <w:autoSpaceDN w:val="0"/>
        <w:adjustRightInd w:val="0"/>
        <w:jc w:val="both"/>
        <w:rPr>
          <w:b/>
          <w:bCs/>
          <w:i/>
          <w:iCs/>
          <w:color w:val="000000"/>
          <w:szCs w:val="24"/>
        </w:rPr>
      </w:pPr>
    </w:p>
    <w:p w:rsidR="00366561" w:rsidRPr="002B1576" w:rsidRDefault="00366561" w:rsidP="002B1576">
      <w:pPr>
        <w:autoSpaceDE w:val="0"/>
        <w:autoSpaceDN w:val="0"/>
        <w:adjustRightInd w:val="0"/>
        <w:jc w:val="both"/>
        <w:rPr>
          <w:b/>
          <w:bCs/>
          <w:iCs/>
          <w:color w:val="000000"/>
          <w:szCs w:val="24"/>
        </w:rPr>
      </w:pPr>
      <w:r w:rsidRPr="002B1576">
        <w:rPr>
          <w:b/>
          <w:bCs/>
          <w:iCs/>
          <w:color w:val="000000"/>
          <w:szCs w:val="24"/>
        </w:rPr>
        <w:t>The National Audit Office</w:t>
      </w:r>
    </w:p>
    <w:p w:rsidR="00366561" w:rsidRDefault="00366561" w:rsidP="002B1576">
      <w:pPr>
        <w:autoSpaceDE w:val="0"/>
        <w:autoSpaceDN w:val="0"/>
        <w:adjustRightInd w:val="0"/>
        <w:jc w:val="both"/>
        <w:rPr>
          <w:color w:val="000000"/>
          <w:szCs w:val="24"/>
        </w:rPr>
      </w:pPr>
    </w:p>
    <w:p w:rsidR="00366561" w:rsidRDefault="00877E29" w:rsidP="002B1576">
      <w:pPr>
        <w:autoSpaceDE w:val="0"/>
        <w:autoSpaceDN w:val="0"/>
        <w:adjustRightInd w:val="0"/>
        <w:jc w:val="both"/>
        <w:rPr>
          <w:color w:val="000000"/>
          <w:szCs w:val="24"/>
        </w:rPr>
      </w:pPr>
      <w:r>
        <w:rPr>
          <w:color w:val="000000"/>
          <w:szCs w:val="24"/>
        </w:rPr>
        <w:t xml:space="preserve">Every country in the world has its own Supreme Audit Institution (SAI) in order to ensure the fair and proper execution of public finance. </w:t>
      </w:r>
      <w:r w:rsidR="00366561">
        <w:rPr>
          <w:color w:val="000000"/>
          <w:szCs w:val="24"/>
        </w:rPr>
        <w:t xml:space="preserve">The National Audit Office (NAO) is the SAI of the Republic of Mauritius. The </w:t>
      </w:r>
      <w:r>
        <w:rPr>
          <w:color w:val="000000"/>
          <w:szCs w:val="24"/>
        </w:rPr>
        <w:t xml:space="preserve">Public </w:t>
      </w:r>
      <w:r w:rsidR="00366561">
        <w:rPr>
          <w:color w:val="000000"/>
          <w:szCs w:val="24"/>
        </w:rPr>
        <w:t>Office of the Director of Audit has been established by the Constitution.</w:t>
      </w:r>
    </w:p>
    <w:p w:rsidR="00366561" w:rsidRDefault="00366561" w:rsidP="002B1576">
      <w:pPr>
        <w:jc w:val="both"/>
        <w:rPr>
          <w:b/>
          <w:szCs w:val="24"/>
        </w:rPr>
      </w:pPr>
    </w:p>
    <w:p w:rsidR="00473B7A" w:rsidRDefault="00473B7A" w:rsidP="002B1576">
      <w:pPr>
        <w:jc w:val="both"/>
        <w:rPr>
          <w:b/>
          <w:szCs w:val="24"/>
        </w:rPr>
      </w:pPr>
    </w:p>
    <w:p w:rsidR="00366561" w:rsidRPr="002B1576" w:rsidRDefault="00366561" w:rsidP="002B1576">
      <w:pPr>
        <w:autoSpaceDE w:val="0"/>
        <w:autoSpaceDN w:val="0"/>
        <w:adjustRightInd w:val="0"/>
        <w:jc w:val="both"/>
        <w:rPr>
          <w:b/>
          <w:bCs/>
          <w:iCs/>
          <w:color w:val="000000"/>
          <w:szCs w:val="24"/>
        </w:rPr>
      </w:pPr>
      <w:r w:rsidRPr="002B1576">
        <w:rPr>
          <w:b/>
          <w:bCs/>
          <w:iCs/>
          <w:color w:val="000000"/>
          <w:szCs w:val="24"/>
        </w:rPr>
        <w:t>Mandate of the Director of Audit</w:t>
      </w:r>
    </w:p>
    <w:p w:rsidR="00366561" w:rsidRDefault="00366561" w:rsidP="002B1576">
      <w:pPr>
        <w:autoSpaceDE w:val="0"/>
        <w:autoSpaceDN w:val="0"/>
        <w:adjustRightInd w:val="0"/>
        <w:jc w:val="both"/>
        <w:rPr>
          <w:color w:val="000000"/>
          <w:szCs w:val="24"/>
        </w:rPr>
      </w:pPr>
    </w:p>
    <w:p w:rsidR="00366561" w:rsidRDefault="00366561" w:rsidP="002B1576">
      <w:pPr>
        <w:autoSpaceDE w:val="0"/>
        <w:autoSpaceDN w:val="0"/>
        <w:adjustRightInd w:val="0"/>
        <w:jc w:val="both"/>
        <w:rPr>
          <w:color w:val="000000"/>
          <w:szCs w:val="24"/>
        </w:rPr>
      </w:pPr>
      <w:r>
        <w:rPr>
          <w:color w:val="000000"/>
          <w:szCs w:val="24"/>
        </w:rPr>
        <w:t>Section 110 of the Constitution provides the Director of Audit with the mandate to audit and report on the public accounts of Mauritius and of all courts of law and all authorities and officers of the Government.</w:t>
      </w:r>
      <w:r w:rsidR="0002369A">
        <w:rPr>
          <w:color w:val="000000"/>
          <w:szCs w:val="24"/>
        </w:rPr>
        <w:t xml:space="preserve"> </w:t>
      </w:r>
      <w:r>
        <w:rPr>
          <w:color w:val="000000"/>
          <w:szCs w:val="24"/>
        </w:rPr>
        <w:t>The same Section of the Constitution also provides that in the exercise of his functions, the Director of Audit shall not be subjected to the direction and contr</w:t>
      </w:r>
      <w:r w:rsidR="0089293B">
        <w:rPr>
          <w:color w:val="000000"/>
          <w:szCs w:val="24"/>
        </w:rPr>
        <w:t xml:space="preserve">ol of any person or authority. </w:t>
      </w:r>
    </w:p>
    <w:p w:rsidR="0002369A" w:rsidRDefault="0002369A" w:rsidP="002B1576">
      <w:pPr>
        <w:autoSpaceDE w:val="0"/>
        <w:autoSpaceDN w:val="0"/>
        <w:adjustRightInd w:val="0"/>
        <w:jc w:val="both"/>
        <w:rPr>
          <w:color w:val="000000"/>
          <w:szCs w:val="24"/>
        </w:rPr>
      </w:pPr>
    </w:p>
    <w:p w:rsidR="00366561" w:rsidRDefault="00366561" w:rsidP="002B1576">
      <w:pPr>
        <w:autoSpaceDE w:val="0"/>
        <w:autoSpaceDN w:val="0"/>
        <w:adjustRightInd w:val="0"/>
        <w:jc w:val="both"/>
        <w:rPr>
          <w:color w:val="000000"/>
          <w:szCs w:val="24"/>
        </w:rPr>
      </w:pPr>
      <w:r>
        <w:rPr>
          <w:color w:val="000000"/>
          <w:szCs w:val="24"/>
        </w:rPr>
        <w:t>Section 16 of the Finance and Audit Act requires the Director of Audit to satisfy himself that:</w:t>
      </w:r>
    </w:p>
    <w:p w:rsidR="00366561" w:rsidRDefault="00366561" w:rsidP="002B1576">
      <w:pPr>
        <w:autoSpaceDE w:val="0"/>
        <w:autoSpaceDN w:val="0"/>
        <w:adjustRightInd w:val="0"/>
        <w:jc w:val="both"/>
        <w:rPr>
          <w:color w:val="000000"/>
          <w:szCs w:val="24"/>
        </w:rPr>
      </w:pPr>
    </w:p>
    <w:p w:rsidR="00366561" w:rsidRDefault="00366561" w:rsidP="002B1576">
      <w:pPr>
        <w:numPr>
          <w:ilvl w:val="0"/>
          <w:numId w:val="30"/>
        </w:numPr>
        <w:autoSpaceDE w:val="0"/>
        <w:autoSpaceDN w:val="0"/>
        <w:adjustRightInd w:val="0"/>
        <w:ind w:left="360"/>
        <w:jc w:val="both"/>
        <w:rPr>
          <w:color w:val="000000"/>
          <w:szCs w:val="24"/>
        </w:rPr>
      </w:pPr>
      <w:r>
        <w:rPr>
          <w:color w:val="000000"/>
          <w:szCs w:val="24"/>
        </w:rPr>
        <w:t>All reasonable precautions have been and are taken to safeguard the collection of public money;</w:t>
      </w:r>
    </w:p>
    <w:p w:rsidR="00366561" w:rsidRDefault="00366561" w:rsidP="002B1576">
      <w:pPr>
        <w:autoSpaceDE w:val="0"/>
        <w:autoSpaceDN w:val="0"/>
        <w:adjustRightInd w:val="0"/>
        <w:ind w:left="360"/>
        <w:jc w:val="both"/>
        <w:rPr>
          <w:color w:val="000000"/>
          <w:szCs w:val="24"/>
        </w:rPr>
      </w:pPr>
    </w:p>
    <w:p w:rsidR="00366561" w:rsidRDefault="00366561" w:rsidP="002B1576">
      <w:pPr>
        <w:numPr>
          <w:ilvl w:val="0"/>
          <w:numId w:val="30"/>
        </w:numPr>
        <w:autoSpaceDE w:val="0"/>
        <w:autoSpaceDN w:val="0"/>
        <w:adjustRightInd w:val="0"/>
        <w:ind w:left="360"/>
        <w:jc w:val="both"/>
        <w:rPr>
          <w:color w:val="000000"/>
          <w:szCs w:val="24"/>
        </w:rPr>
      </w:pPr>
      <w:r>
        <w:rPr>
          <w:color w:val="000000"/>
          <w:szCs w:val="24"/>
        </w:rPr>
        <w:t>All laws, directions or instructions relating to public money have been and are duly observed;</w:t>
      </w:r>
    </w:p>
    <w:p w:rsidR="00366561" w:rsidRDefault="00366561" w:rsidP="002B1576">
      <w:pPr>
        <w:autoSpaceDE w:val="0"/>
        <w:autoSpaceDN w:val="0"/>
        <w:adjustRightInd w:val="0"/>
        <w:ind w:left="360"/>
        <w:jc w:val="both"/>
        <w:rPr>
          <w:color w:val="000000"/>
          <w:szCs w:val="24"/>
        </w:rPr>
      </w:pPr>
    </w:p>
    <w:p w:rsidR="00366561" w:rsidRDefault="00366561" w:rsidP="002B1576">
      <w:pPr>
        <w:numPr>
          <w:ilvl w:val="0"/>
          <w:numId w:val="30"/>
        </w:numPr>
        <w:autoSpaceDE w:val="0"/>
        <w:autoSpaceDN w:val="0"/>
        <w:adjustRightInd w:val="0"/>
        <w:ind w:left="360"/>
        <w:jc w:val="both"/>
        <w:rPr>
          <w:color w:val="000000"/>
          <w:szCs w:val="24"/>
        </w:rPr>
      </w:pPr>
      <w:r>
        <w:rPr>
          <w:color w:val="000000"/>
          <w:szCs w:val="24"/>
        </w:rPr>
        <w:t>All money appropriated or otherwise disbursed is applied for the purpose for which Parliament intended to provide and that the expenditure conforms to the authority which governs it; and</w:t>
      </w:r>
    </w:p>
    <w:p w:rsidR="00366561" w:rsidRDefault="00366561" w:rsidP="002B1576">
      <w:pPr>
        <w:autoSpaceDE w:val="0"/>
        <w:autoSpaceDN w:val="0"/>
        <w:adjustRightInd w:val="0"/>
        <w:ind w:left="360"/>
        <w:jc w:val="both"/>
        <w:rPr>
          <w:color w:val="000000"/>
          <w:szCs w:val="24"/>
        </w:rPr>
      </w:pPr>
    </w:p>
    <w:p w:rsidR="00366561" w:rsidRDefault="00366561" w:rsidP="002B1576">
      <w:pPr>
        <w:numPr>
          <w:ilvl w:val="0"/>
          <w:numId w:val="30"/>
        </w:numPr>
        <w:autoSpaceDE w:val="0"/>
        <w:autoSpaceDN w:val="0"/>
        <w:adjustRightInd w:val="0"/>
        <w:ind w:left="360"/>
        <w:jc w:val="both"/>
        <w:rPr>
          <w:color w:val="000000"/>
          <w:szCs w:val="24"/>
        </w:rPr>
      </w:pPr>
      <w:r>
        <w:rPr>
          <w:color w:val="000000"/>
          <w:szCs w:val="24"/>
        </w:rPr>
        <w:t>Adequate directions or instructions exist for the guidance of Public Officers entrusted with duties and functions connected with finance or storekeeping and that such directions or instructions have been and are duly observed.</w:t>
      </w:r>
    </w:p>
    <w:p w:rsidR="00366561" w:rsidRDefault="00366561" w:rsidP="002B1576">
      <w:pPr>
        <w:jc w:val="both"/>
        <w:rPr>
          <w:b/>
          <w:szCs w:val="24"/>
        </w:rPr>
      </w:pPr>
    </w:p>
    <w:p w:rsidR="0002369A" w:rsidRDefault="0002369A" w:rsidP="002B1576">
      <w:pPr>
        <w:jc w:val="both"/>
        <w:rPr>
          <w:szCs w:val="24"/>
        </w:rPr>
      </w:pPr>
      <w:r w:rsidRPr="0002369A">
        <w:rPr>
          <w:szCs w:val="24"/>
        </w:rPr>
        <w:t xml:space="preserve">The </w:t>
      </w:r>
      <w:r>
        <w:rPr>
          <w:szCs w:val="24"/>
        </w:rPr>
        <w:t xml:space="preserve">Finance and Audit Act, as amended, provides the authority for me to audit and report upon the examination of all accounts relating to the </w:t>
      </w:r>
      <w:proofErr w:type="spellStart"/>
      <w:r>
        <w:rPr>
          <w:szCs w:val="24"/>
        </w:rPr>
        <w:t>Rodrigues</w:t>
      </w:r>
      <w:proofErr w:type="spellEnd"/>
      <w:r>
        <w:rPr>
          <w:szCs w:val="24"/>
        </w:rPr>
        <w:t xml:space="preserve"> Regional Assembly</w:t>
      </w:r>
      <w:r w:rsidR="00EE15AD">
        <w:rPr>
          <w:szCs w:val="24"/>
        </w:rPr>
        <w:t xml:space="preserve"> (RRA)</w:t>
      </w:r>
      <w:r>
        <w:rPr>
          <w:szCs w:val="24"/>
        </w:rPr>
        <w:t>.</w:t>
      </w:r>
    </w:p>
    <w:p w:rsidR="0002369A" w:rsidRPr="0002369A" w:rsidRDefault="0002369A" w:rsidP="002B1576">
      <w:pPr>
        <w:jc w:val="both"/>
        <w:rPr>
          <w:szCs w:val="24"/>
        </w:rPr>
      </w:pPr>
    </w:p>
    <w:p w:rsidR="0089293B" w:rsidRDefault="0089293B" w:rsidP="002B1576">
      <w:pPr>
        <w:jc w:val="both"/>
        <w:rPr>
          <w:b/>
          <w:szCs w:val="24"/>
        </w:rPr>
      </w:pPr>
    </w:p>
    <w:p w:rsidR="00366561" w:rsidRDefault="00366561" w:rsidP="002B1576">
      <w:pPr>
        <w:jc w:val="both"/>
        <w:rPr>
          <w:b/>
          <w:szCs w:val="24"/>
        </w:rPr>
      </w:pPr>
      <w:r>
        <w:rPr>
          <w:b/>
          <w:szCs w:val="24"/>
        </w:rPr>
        <w:t>Administrative Set Up</w:t>
      </w:r>
    </w:p>
    <w:p w:rsidR="00366561" w:rsidRDefault="00366561" w:rsidP="002B1576">
      <w:pPr>
        <w:autoSpaceDE w:val="0"/>
        <w:autoSpaceDN w:val="0"/>
        <w:adjustRightInd w:val="0"/>
        <w:jc w:val="both"/>
        <w:rPr>
          <w:color w:val="000000"/>
          <w:szCs w:val="24"/>
        </w:rPr>
      </w:pPr>
    </w:p>
    <w:p w:rsidR="00366561" w:rsidRDefault="00366561" w:rsidP="002B1576">
      <w:pPr>
        <w:jc w:val="both"/>
        <w:rPr>
          <w:b/>
          <w:szCs w:val="24"/>
        </w:rPr>
      </w:pPr>
      <w:r>
        <w:rPr>
          <w:szCs w:val="24"/>
        </w:rPr>
        <w:t xml:space="preserve">The Island of </w:t>
      </w:r>
      <w:proofErr w:type="spellStart"/>
      <w:r>
        <w:rPr>
          <w:szCs w:val="24"/>
        </w:rPr>
        <w:t>Rodrigues</w:t>
      </w:r>
      <w:proofErr w:type="spellEnd"/>
      <w:r>
        <w:rPr>
          <w:szCs w:val="24"/>
        </w:rPr>
        <w:t xml:space="preserve"> became autonomous as from 1 October 2002 with the enactment of </w:t>
      </w:r>
      <w:proofErr w:type="spellStart"/>
      <w:r>
        <w:rPr>
          <w:szCs w:val="24"/>
        </w:rPr>
        <w:t>Rodrigues</w:t>
      </w:r>
      <w:proofErr w:type="spellEnd"/>
      <w:r>
        <w:rPr>
          <w:szCs w:val="24"/>
        </w:rPr>
        <w:t xml:space="preserve"> Regional Assembly Act 2001, and the internal affairs are dealt with at the level of  RRA.</w:t>
      </w:r>
    </w:p>
    <w:p w:rsidR="00366561" w:rsidRDefault="00366561" w:rsidP="002B1576">
      <w:pPr>
        <w:jc w:val="both"/>
        <w:rPr>
          <w:b/>
          <w:szCs w:val="24"/>
        </w:rPr>
      </w:pPr>
    </w:p>
    <w:p w:rsidR="00366561" w:rsidRDefault="00366561" w:rsidP="002B1576">
      <w:pPr>
        <w:jc w:val="both"/>
        <w:rPr>
          <w:szCs w:val="24"/>
        </w:rPr>
      </w:pPr>
    </w:p>
    <w:p w:rsidR="00366561" w:rsidRDefault="00366561" w:rsidP="002B1576">
      <w:pPr>
        <w:jc w:val="both"/>
        <w:rPr>
          <w:szCs w:val="24"/>
        </w:rPr>
      </w:pPr>
      <w:r>
        <w:rPr>
          <w:szCs w:val="24"/>
        </w:rPr>
        <w:t>For the purpose of the RRA Act, an Executive Council has been established which is responsible for carrying out the functions of the RRA. Members of the Regional Assembly are elected through universal suffrage. Seven Commissions have been set up under the Executive Council.</w:t>
      </w:r>
    </w:p>
    <w:p w:rsidR="00877E29" w:rsidRDefault="00877E29" w:rsidP="002B1576">
      <w:pPr>
        <w:jc w:val="both"/>
        <w:rPr>
          <w:szCs w:val="24"/>
        </w:rPr>
      </w:pPr>
    </w:p>
    <w:p w:rsidR="00366561" w:rsidRDefault="00366561" w:rsidP="002B1576">
      <w:pPr>
        <w:jc w:val="both"/>
        <w:rPr>
          <w:b/>
          <w:szCs w:val="24"/>
        </w:rPr>
      </w:pPr>
      <w:r>
        <w:rPr>
          <w:b/>
          <w:szCs w:val="24"/>
        </w:rPr>
        <w:lastRenderedPageBreak/>
        <w:t>Accounting Officers</w:t>
      </w:r>
    </w:p>
    <w:p w:rsidR="00366561" w:rsidRDefault="00366561" w:rsidP="002B1576">
      <w:pPr>
        <w:jc w:val="both"/>
        <w:rPr>
          <w:szCs w:val="24"/>
        </w:rPr>
      </w:pPr>
    </w:p>
    <w:p w:rsidR="00366561" w:rsidRDefault="00366561" w:rsidP="002B1576">
      <w:pPr>
        <w:jc w:val="both"/>
        <w:rPr>
          <w:szCs w:val="24"/>
        </w:rPr>
      </w:pPr>
      <w:r>
        <w:rPr>
          <w:szCs w:val="24"/>
        </w:rPr>
        <w:t>The Island Chief Executive is the admin</w:t>
      </w:r>
      <w:r w:rsidR="0002369A">
        <w:rPr>
          <w:szCs w:val="24"/>
        </w:rPr>
        <w:t xml:space="preserve">istrative head of the RRA </w:t>
      </w:r>
      <w:r>
        <w:rPr>
          <w:szCs w:val="24"/>
        </w:rPr>
        <w:t>and is responsible to the Chief Commissioner. Each Commission is under the responsibility of a</w:t>
      </w:r>
      <w:r w:rsidR="00A15EB2">
        <w:rPr>
          <w:szCs w:val="24"/>
        </w:rPr>
        <w:t>t least one</w:t>
      </w:r>
      <w:r>
        <w:rPr>
          <w:szCs w:val="24"/>
        </w:rPr>
        <w:t xml:space="preserve"> Departmental Head. </w:t>
      </w:r>
    </w:p>
    <w:p w:rsidR="00366561" w:rsidRDefault="00366561" w:rsidP="002B1576">
      <w:pPr>
        <w:jc w:val="both"/>
        <w:rPr>
          <w:szCs w:val="24"/>
        </w:rPr>
      </w:pPr>
    </w:p>
    <w:p w:rsidR="00366561" w:rsidRDefault="00366561" w:rsidP="002B1576">
      <w:pPr>
        <w:jc w:val="both"/>
        <w:rPr>
          <w:szCs w:val="24"/>
        </w:rPr>
      </w:pPr>
      <w:r>
        <w:rPr>
          <w:szCs w:val="24"/>
        </w:rPr>
        <w:t>There are departments that do not fall under the administrative control of RRA, among others, the Police Department and the Judiciary.</w:t>
      </w:r>
    </w:p>
    <w:p w:rsidR="00366561" w:rsidRDefault="00366561" w:rsidP="002B1576">
      <w:pPr>
        <w:jc w:val="both"/>
        <w:rPr>
          <w:b/>
          <w:szCs w:val="24"/>
        </w:rPr>
      </w:pPr>
    </w:p>
    <w:p w:rsidR="0089293B" w:rsidRDefault="0089293B" w:rsidP="002B1576">
      <w:pPr>
        <w:jc w:val="both"/>
        <w:rPr>
          <w:b/>
          <w:szCs w:val="24"/>
        </w:rPr>
      </w:pPr>
    </w:p>
    <w:p w:rsidR="00366561" w:rsidRDefault="00366561" w:rsidP="002B1576">
      <w:pPr>
        <w:jc w:val="both"/>
        <w:rPr>
          <w:b/>
          <w:szCs w:val="24"/>
        </w:rPr>
      </w:pPr>
      <w:r>
        <w:rPr>
          <w:b/>
          <w:szCs w:val="24"/>
        </w:rPr>
        <w:t>Accountability and Control</w:t>
      </w:r>
    </w:p>
    <w:p w:rsidR="00366561" w:rsidRDefault="00366561" w:rsidP="002B1576">
      <w:pPr>
        <w:jc w:val="both"/>
        <w:rPr>
          <w:b/>
          <w:i/>
          <w:szCs w:val="24"/>
        </w:rPr>
      </w:pPr>
    </w:p>
    <w:p w:rsidR="00AE695E" w:rsidRDefault="00AE695E" w:rsidP="002B1576">
      <w:pPr>
        <w:jc w:val="both"/>
        <w:rPr>
          <w:b/>
          <w:i/>
          <w:szCs w:val="24"/>
        </w:rPr>
      </w:pPr>
    </w:p>
    <w:p w:rsidR="00366561" w:rsidRDefault="00366561" w:rsidP="002B1576">
      <w:pPr>
        <w:jc w:val="both"/>
        <w:rPr>
          <w:b/>
          <w:i/>
          <w:szCs w:val="24"/>
        </w:rPr>
      </w:pPr>
      <w:r>
        <w:rPr>
          <w:b/>
          <w:i/>
          <w:szCs w:val="24"/>
        </w:rPr>
        <w:t>Financial Statements</w:t>
      </w:r>
    </w:p>
    <w:p w:rsidR="00366561" w:rsidRDefault="00366561" w:rsidP="002B1576">
      <w:pPr>
        <w:jc w:val="both"/>
        <w:rPr>
          <w:szCs w:val="24"/>
        </w:rPr>
      </w:pPr>
    </w:p>
    <w:p w:rsidR="00366561" w:rsidRDefault="00366561" w:rsidP="002B1576">
      <w:pPr>
        <w:jc w:val="both"/>
        <w:rPr>
          <w:szCs w:val="24"/>
        </w:rPr>
      </w:pPr>
      <w:r>
        <w:rPr>
          <w:szCs w:val="24"/>
        </w:rPr>
        <w:t xml:space="preserve">The financial statements of the RRA are prepared according to Section 19 (6) of the Finance and Audit Act. This Act also requires the Commissioner responsible for the subject of finance to sign and submit to the Director of Audit, within three months of the close of every fiscal year, annual financial statements showing fully the financial position of the Island of </w:t>
      </w:r>
      <w:proofErr w:type="spellStart"/>
      <w:r>
        <w:rPr>
          <w:szCs w:val="24"/>
        </w:rPr>
        <w:t>Rodrigues</w:t>
      </w:r>
      <w:proofErr w:type="spellEnd"/>
      <w:r>
        <w:rPr>
          <w:szCs w:val="24"/>
        </w:rPr>
        <w:t xml:space="preserve"> on the last day of such fiscal year.</w:t>
      </w:r>
    </w:p>
    <w:p w:rsidR="00366561" w:rsidRDefault="00366561" w:rsidP="002B1576">
      <w:pPr>
        <w:jc w:val="both"/>
        <w:rPr>
          <w:b/>
          <w:i/>
          <w:szCs w:val="24"/>
        </w:rPr>
      </w:pPr>
    </w:p>
    <w:p w:rsidR="00AE695E" w:rsidRDefault="00AE695E" w:rsidP="002B1576">
      <w:pPr>
        <w:jc w:val="both"/>
        <w:rPr>
          <w:b/>
          <w:i/>
          <w:szCs w:val="24"/>
        </w:rPr>
      </w:pPr>
    </w:p>
    <w:p w:rsidR="00366561" w:rsidRDefault="00366561" w:rsidP="002B1576">
      <w:pPr>
        <w:jc w:val="both"/>
        <w:rPr>
          <w:b/>
          <w:i/>
          <w:szCs w:val="24"/>
        </w:rPr>
      </w:pPr>
      <w:r>
        <w:rPr>
          <w:b/>
          <w:i/>
          <w:szCs w:val="24"/>
        </w:rPr>
        <w:t>Audit of Accounts</w:t>
      </w:r>
    </w:p>
    <w:p w:rsidR="00366561" w:rsidRDefault="00366561" w:rsidP="002B1576">
      <w:pPr>
        <w:jc w:val="both"/>
        <w:rPr>
          <w:szCs w:val="24"/>
        </w:rPr>
      </w:pPr>
    </w:p>
    <w:p w:rsidR="00366561" w:rsidRDefault="00366561" w:rsidP="002B1576">
      <w:pPr>
        <w:jc w:val="both"/>
        <w:rPr>
          <w:szCs w:val="24"/>
        </w:rPr>
      </w:pPr>
      <w:r>
        <w:rPr>
          <w:szCs w:val="24"/>
        </w:rPr>
        <w:t xml:space="preserve">The Finance and Audit Act requires the Director of Audit to submit to the Minister responsible for finance within eight months of the close of every fiscal year, copies of annual financial statements together with a certificate of audit and a report upon his examination and audit of accounts relating to public money, securities, stores and other property of the </w:t>
      </w:r>
      <w:proofErr w:type="spellStart"/>
      <w:r>
        <w:rPr>
          <w:szCs w:val="24"/>
        </w:rPr>
        <w:t>Rodrigues</w:t>
      </w:r>
      <w:proofErr w:type="spellEnd"/>
      <w:r>
        <w:rPr>
          <w:szCs w:val="24"/>
        </w:rPr>
        <w:t xml:space="preserve"> Regional Assembly.</w:t>
      </w:r>
    </w:p>
    <w:p w:rsidR="00366561" w:rsidRDefault="00366561" w:rsidP="002B1576">
      <w:pPr>
        <w:jc w:val="both"/>
        <w:rPr>
          <w:b/>
          <w:bCs/>
          <w:i/>
          <w:iCs/>
          <w:color w:val="0070C0"/>
          <w:szCs w:val="24"/>
        </w:rPr>
      </w:pPr>
    </w:p>
    <w:p w:rsidR="00366561" w:rsidRDefault="00366561" w:rsidP="002B1576">
      <w:pPr>
        <w:jc w:val="both"/>
        <w:rPr>
          <w:szCs w:val="24"/>
        </w:rPr>
      </w:pPr>
    </w:p>
    <w:p w:rsidR="00366561" w:rsidRDefault="00366561" w:rsidP="002B1576">
      <w:pPr>
        <w:jc w:val="both"/>
        <w:rPr>
          <w:b/>
          <w:szCs w:val="24"/>
        </w:rPr>
      </w:pPr>
      <w:r>
        <w:rPr>
          <w:b/>
          <w:szCs w:val="24"/>
        </w:rPr>
        <w:t>Acknowledgement</w:t>
      </w:r>
    </w:p>
    <w:p w:rsidR="00366561" w:rsidRDefault="00366561" w:rsidP="002B1576">
      <w:pPr>
        <w:jc w:val="both"/>
        <w:rPr>
          <w:szCs w:val="24"/>
        </w:rPr>
      </w:pPr>
    </w:p>
    <w:p w:rsidR="00366561" w:rsidRDefault="00366561" w:rsidP="002B1576">
      <w:pPr>
        <w:autoSpaceDE w:val="0"/>
        <w:autoSpaceDN w:val="0"/>
        <w:adjustRightInd w:val="0"/>
        <w:jc w:val="both"/>
        <w:rPr>
          <w:szCs w:val="24"/>
        </w:rPr>
      </w:pPr>
      <w:r>
        <w:rPr>
          <w:szCs w:val="24"/>
        </w:rPr>
        <w:t>I wish to thank all the staff of N</w:t>
      </w:r>
      <w:r w:rsidR="0002369A">
        <w:rPr>
          <w:szCs w:val="24"/>
        </w:rPr>
        <w:t xml:space="preserve">AO for their continual support and </w:t>
      </w:r>
      <w:r>
        <w:rPr>
          <w:szCs w:val="24"/>
        </w:rPr>
        <w:t>commitment</w:t>
      </w:r>
      <w:r w:rsidR="0002369A">
        <w:rPr>
          <w:szCs w:val="24"/>
        </w:rPr>
        <w:t>.</w:t>
      </w:r>
      <w:r>
        <w:rPr>
          <w:szCs w:val="24"/>
        </w:rPr>
        <w:t xml:space="preserve"> They have collectively performed their duties with professional dedication and goodwill, which is highly appreciated. I would also like to express my sincere thanks to the Acting Island Chief Executive, the Departmental Heads and all their staff for their cooperation and collaboration.</w:t>
      </w:r>
    </w:p>
    <w:p w:rsidR="00366561" w:rsidRDefault="00366561" w:rsidP="002B1576">
      <w:pPr>
        <w:jc w:val="both"/>
        <w:rPr>
          <w:szCs w:val="24"/>
        </w:rPr>
      </w:pPr>
    </w:p>
    <w:p w:rsidR="0089293B" w:rsidRDefault="0089293B" w:rsidP="002B1576">
      <w:pPr>
        <w:jc w:val="both"/>
        <w:rPr>
          <w:szCs w:val="24"/>
        </w:rPr>
      </w:pPr>
    </w:p>
    <w:p w:rsidR="0089293B" w:rsidRDefault="0089293B" w:rsidP="002B1576">
      <w:pPr>
        <w:jc w:val="both"/>
        <w:rPr>
          <w:szCs w:val="24"/>
        </w:rPr>
      </w:pPr>
    </w:p>
    <w:p w:rsidR="00473B7A" w:rsidRDefault="00473B7A" w:rsidP="002B1576">
      <w:pPr>
        <w:jc w:val="both"/>
        <w:rPr>
          <w:szCs w:val="24"/>
        </w:rPr>
      </w:pPr>
    </w:p>
    <w:p w:rsidR="0002369A" w:rsidRPr="00877E29" w:rsidRDefault="00877E29" w:rsidP="002B1576">
      <w:pPr>
        <w:autoSpaceDE w:val="0"/>
        <w:autoSpaceDN w:val="0"/>
        <w:adjustRightInd w:val="0"/>
        <w:jc w:val="both"/>
        <w:rPr>
          <w:b/>
          <w:smallCaps/>
          <w:szCs w:val="24"/>
        </w:rPr>
      </w:pPr>
      <w:proofErr w:type="spellStart"/>
      <w:r w:rsidRPr="00877E29">
        <w:rPr>
          <w:b/>
          <w:szCs w:val="24"/>
        </w:rPr>
        <w:t>Kwee</w:t>
      </w:r>
      <w:proofErr w:type="spellEnd"/>
      <w:r w:rsidRPr="00877E29">
        <w:rPr>
          <w:b/>
          <w:szCs w:val="24"/>
        </w:rPr>
        <w:t xml:space="preserve"> </w:t>
      </w:r>
      <w:r w:rsidRPr="00877E29">
        <w:rPr>
          <w:b/>
          <w:smallCaps/>
          <w:szCs w:val="24"/>
        </w:rPr>
        <w:t>C</w:t>
      </w:r>
      <w:r w:rsidRPr="00877E29">
        <w:rPr>
          <w:b/>
          <w:szCs w:val="24"/>
        </w:rPr>
        <w:t>how</w:t>
      </w:r>
      <w:r w:rsidR="00366561" w:rsidRPr="00877E29">
        <w:rPr>
          <w:b/>
          <w:smallCaps/>
          <w:szCs w:val="24"/>
        </w:rPr>
        <w:t xml:space="preserve"> </w:t>
      </w:r>
      <w:proofErr w:type="spellStart"/>
      <w:r w:rsidR="00366561" w:rsidRPr="00877E29">
        <w:rPr>
          <w:b/>
          <w:smallCaps/>
          <w:szCs w:val="24"/>
        </w:rPr>
        <w:t>Tse</w:t>
      </w:r>
      <w:proofErr w:type="spellEnd"/>
      <w:r w:rsidR="00366561" w:rsidRPr="00877E29">
        <w:rPr>
          <w:b/>
          <w:smallCaps/>
          <w:szCs w:val="24"/>
        </w:rPr>
        <w:t xml:space="preserve"> </w:t>
      </w:r>
      <w:proofErr w:type="spellStart"/>
      <w:r w:rsidR="00366561" w:rsidRPr="00877E29">
        <w:rPr>
          <w:b/>
          <w:smallCaps/>
          <w:szCs w:val="24"/>
        </w:rPr>
        <w:t>Yuet</w:t>
      </w:r>
      <w:proofErr w:type="spellEnd"/>
      <w:r w:rsidR="00366561" w:rsidRPr="00877E29">
        <w:rPr>
          <w:b/>
          <w:smallCaps/>
          <w:szCs w:val="24"/>
        </w:rPr>
        <w:t xml:space="preserve"> Cheong </w:t>
      </w:r>
      <w:r w:rsidR="0002369A" w:rsidRPr="00877E29">
        <w:rPr>
          <w:b/>
          <w:smallCaps/>
          <w:szCs w:val="24"/>
        </w:rPr>
        <w:t>(</w:t>
      </w:r>
      <w:r w:rsidR="00366561" w:rsidRPr="00877E29">
        <w:rPr>
          <w:b/>
          <w:smallCaps/>
          <w:szCs w:val="24"/>
        </w:rPr>
        <w:t>M</w:t>
      </w:r>
      <w:r w:rsidR="00366561" w:rsidRPr="00A15EB2">
        <w:rPr>
          <w:b/>
          <w:szCs w:val="24"/>
        </w:rPr>
        <w:t>rs</w:t>
      </w:r>
      <w:r w:rsidR="0002369A" w:rsidRPr="00877E29">
        <w:rPr>
          <w:b/>
          <w:smallCaps/>
          <w:szCs w:val="24"/>
        </w:rPr>
        <w:t xml:space="preserve">) </w:t>
      </w:r>
    </w:p>
    <w:p w:rsidR="00366561" w:rsidRPr="00877E29" w:rsidRDefault="00366561" w:rsidP="002B1576">
      <w:pPr>
        <w:autoSpaceDE w:val="0"/>
        <w:autoSpaceDN w:val="0"/>
        <w:adjustRightInd w:val="0"/>
        <w:jc w:val="both"/>
        <w:rPr>
          <w:b/>
          <w:szCs w:val="24"/>
        </w:rPr>
      </w:pPr>
      <w:r w:rsidRPr="00877E29">
        <w:rPr>
          <w:b/>
          <w:szCs w:val="24"/>
        </w:rPr>
        <w:t>Director of Audit</w:t>
      </w:r>
    </w:p>
    <w:p w:rsidR="00366561" w:rsidRDefault="00366561" w:rsidP="002B1576">
      <w:pPr>
        <w:autoSpaceDE w:val="0"/>
        <w:autoSpaceDN w:val="0"/>
        <w:adjustRightInd w:val="0"/>
        <w:jc w:val="both"/>
        <w:rPr>
          <w:b/>
          <w:szCs w:val="24"/>
        </w:rPr>
      </w:pPr>
      <w:r w:rsidRPr="00877E29">
        <w:rPr>
          <w:b/>
          <w:szCs w:val="24"/>
        </w:rPr>
        <w:t>Head of SAI Mauritius</w:t>
      </w:r>
    </w:p>
    <w:p w:rsidR="00A15EB2" w:rsidRPr="00877E29" w:rsidRDefault="00A15EB2" w:rsidP="002B1576">
      <w:pPr>
        <w:autoSpaceDE w:val="0"/>
        <w:autoSpaceDN w:val="0"/>
        <w:adjustRightInd w:val="0"/>
        <w:jc w:val="both"/>
        <w:rPr>
          <w:b/>
          <w:szCs w:val="24"/>
        </w:rPr>
      </w:pPr>
    </w:p>
    <w:p w:rsidR="00366561" w:rsidRPr="00877E29" w:rsidRDefault="00A15EB2" w:rsidP="00877E29">
      <w:pPr>
        <w:rPr>
          <w:b/>
          <w:szCs w:val="24"/>
        </w:rPr>
      </w:pPr>
      <w:r>
        <w:rPr>
          <w:b/>
          <w:szCs w:val="24"/>
        </w:rPr>
        <w:t xml:space="preserve">28 </w:t>
      </w:r>
      <w:r w:rsidR="00705F95" w:rsidRPr="00877E29">
        <w:rPr>
          <w:b/>
          <w:szCs w:val="24"/>
        </w:rPr>
        <w:t>July 2014</w:t>
      </w:r>
    </w:p>
    <w:p w:rsidR="00B70CFC" w:rsidRDefault="00B70CFC" w:rsidP="002B1576">
      <w:pPr>
        <w:rPr>
          <w:b/>
          <w:szCs w:val="24"/>
        </w:rPr>
        <w:sectPr w:rsidR="00B70CFC" w:rsidSect="00473B7A">
          <w:footerReference w:type="default" r:id="rId11"/>
          <w:headerReference w:type="first" r:id="rId12"/>
          <w:footerReference w:type="first" r:id="rId13"/>
          <w:pgSz w:w="11907" w:h="16839" w:code="9"/>
          <w:pgMar w:top="1440" w:right="1440" w:bottom="1440" w:left="1440" w:header="706" w:footer="432" w:gutter="0"/>
          <w:pgNumType w:start="1"/>
          <w:cols w:space="708"/>
          <w:titlePg/>
          <w:docGrid w:linePitch="326"/>
        </w:sectPr>
      </w:pPr>
    </w:p>
    <w:p w:rsidR="00BD502D" w:rsidRDefault="00BD502D" w:rsidP="002B1576">
      <w:pPr>
        <w:jc w:val="both"/>
        <w:rPr>
          <w:b/>
          <w:szCs w:val="24"/>
        </w:rPr>
      </w:pPr>
    </w:p>
    <w:p w:rsidR="0000691A" w:rsidRPr="00344129" w:rsidRDefault="00CC449F" w:rsidP="002B1576">
      <w:pPr>
        <w:jc w:val="both"/>
        <w:rPr>
          <w:b/>
          <w:szCs w:val="24"/>
        </w:rPr>
      </w:pPr>
      <w:r>
        <w:rPr>
          <w:b/>
          <w:szCs w:val="24"/>
        </w:rPr>
        <w:t>2.1</w:t>
      </w:r>
      <w:r w:rsidR="007B77C7">
        <w:rPr>
          <w:b/>
          <w:szCs w:val="24"/>
        </w:rPr>
        <w:t xml:space="preserve"> </w:t>
      </w:r>
      <w:r>
        <w:rPr>
          <w:b/>
          <w:szCs w:val="24"/>
        </w:rPr>
        <w:t xml:space="preserve"> </w:t>
      </w:r>
      <w:r w:rsidR="0000691A" w:rsidRPr="00344129">
        <w:rPr>
          <w:b/>
          <w:szCs w:val="24"/>
        </w:rPr>
        <w:t>Introduction</w:t>
      </w:r>
    </w:p>
    <w:p w:rsidR="0000691A" w:rsidRDefault="0000691A" w:rsidP="002B1576">
      <w:pPr>
        <w:jc w:val="both"/>
        <w:rPr>
          <w:szCs w:val="24"/>
        </w:rPr>
      </w:pPr>
    </w:p>
    <w:p w:rsidR="0000691A" w:rsidRDefault="0000691A" w:rsidP="002B1576">
      <w:pPr>
        <w:jc w:val="both"/>
        <w:rPr>
          <w:szCs w:val="24"/>
        </w:rPr>
      </w:pPr>
      <w:r w:rsidRPr="00344129">
        <w:rPr>
          <w:szCs w:val="24"/>
        </w:rPr>
        <w:t xml:space="preserve">The Finance and Audit Act requires the Commissioner responsible for the subject of finance to sign and submit to the Director of Audit, within three months of the close of every fiscal year, annual financial statements showing fully the financial position of the Island of </w:t>
      </w:r>
      <w:proofErr w:type="spellStart"/>
      <w:r w:rsidRPr="00344129">
        <w:rPr>
          <w:szCs w:val="24"/>
        </w:rPr>
        <w:t>Rodrigues</w:t>
      </w:r>
      <w:proofErr w:type="spellEnd"/>
      <w:r w:rsidRPr="00344129">
        <w:rPr>
          <w:szCs w:val="24"/>
        </w:rPr>
        <w:t xml:space="preserve"> on the last day of such fiscal year.</w:t>
      </w:r>
    </w:p>
    <w:p w:rsidR="0000691A" w:rsidRDefault="0000691A" w:rsidP="002B1576">
      <w:pPr>
        <w:jc w:val="both"/>
        <w:rPr>
          <w:szCs w:val="24"/>
        </w:rPr>
      </w:pPr>
    </w:p>
    <w:p w:rsidR="0000691A" w:rsidRDefault="0000691A" w:rsidP="002B1576">
      <w:pPr>
        <w:jc w:val="both"/>
        <w:rPr>
          <w:szCs w:val="24"/>
        </w:rPr>
      </w:pPr>
      <w:r w:rsidRPr="00344129">
        <w:rPr>
          <w:szCs w:val="24"/>
        </w:rPr>
        <w:t xml:space="preserve">The accounts of the </w:t>
      </w:r>
      <w:proofErr w:type="spellStart"/>
      <w:r>
        <w:rPr>
          <w:szCs w:val="24"/>
        </w:rPr>
        <w:t>Rodrigues</w:t>
      </w:r>
      <w:proofErr w:type="spellEnd"/>
      <w:r>
        <w:rPr>
          <w:szCs w:val="24"/>
        </w:rPr>
        <w:t xml:space="preserve"> Regional Assembly (</w:t>
      </w:r>
      <w:r w:rsidRPr="00344129">
        <w:rPr>
          <w:szCs w:val="24"/>
        </w:rPr>
        <w:t>RRA</w:t>
      </w:r>
      <w:r>
        <w:rPr>
          <w:szCs w:val="24"/>
        </w:rPr>
        <w:t>)</w:t>
      </w:r>
      <w:r w:rsidRPr="00344129">
        <w:rPr>
          <w:szCs w:val="24"/>
        </w:rPr>
        <w:t xml:space="preserve"> for the fiscal year ended 31 December </w:t>
      </w:r>
      <w:r>
        <w:rPr>
          <w:szCs w:val="24"/>
        </w:rPr>
        <w:t>2013</w:t>
      </w:r>
      <w:r w:rsidRPr="00344129">
        <w:rPr>
          <w:szCs w:val="24"/>
        </w:rPr>
        <w:t xml:space="preserve"> were closed on </w:t>
      </w:r>
      <w:r>
        <w:rPr>
          <w:szCs w:val="24"/>
        </w:rPr>
        <w:t>29 March </w:t>
      </w:r>
      <w:r w:rsidRPr="00344129">
        <w:rPr>
          <w:szCs w:val="24"/>
        </w:rPr>
        <w:t>2014</w:t>
      </w:r>
      <w:r>
        <w:rPr>
          <w:szCs w:val="24"/>
        </w:rPr>
        <w:t>. T</w:t>
      </w:r>
      <w:r w:rsidRPr="00344129">
        <w:rPr>
          <w:szCs w:val="24"/>
        </w:rPr>
        <w:t xml:space="preserve">he </w:t>
      </w:r>
      <w:r w:rsidRPr="00A74F6E">
        <w:rPr>
          <w:szCs w:val="24"/>
        </w:rPr>
        <w:t>approved financial statements</w:t>
      </w:r>
      <w:r w:rsidRPr="00344129">
        <w:rPr>
          <w:szCs w:val="24"/>
        </w:rPr>
        <w:t xml:space="preserve"> were submitted to the National Audit Office </w:t>
      </w:r>
      <w:r>
        <w:rPr>
          <w:szCs w:val="24"/>
        </w:rPr>
        <w:t xml:space="preserve">(NAO) </w:t>
      </w:r>
      <w:r w:rsidRPr="00344129">
        <w:rPr>
          <w:szCs w:val="24"/>
        </w:rPr>
        <w:t>on</w:t>
      </w:r>
      <w:r>
        <w:rPr>
          <w:szCs w:val="24"/>
        </w:rPr>
        <w:t xml:space="preserve"> the same day.</w:t>
      </w:r>
    </w:p>
    <w:p w:rsidR="0000691A" w:rsidRDefault="0000691A" w:rsidP="002B1576">
      <w:pPr>
        <w:jc w:val="both"/>
        <w:rPr>
          <w:szCs w:val="24"/>
        </w:rPr>
      </w:pPr>
    </w:p>
    <w:p w:rsidR="0000691A" w:rsidRDefault="0000691A" w:rsidP="002B1576">
      <w:pPr>
        <w:jc w:val="both"/>
        <w:rPr>
          <w:szCs w:val="24"/>
        </w:rPr>
      </w:pPr>
      <w:r w:rsidRPr="00344129">
        <w:rPr>
          <w:szCs w:val="24"/>
        </w:rPr>
        <w:t xml:space="preserve">The annual financial statements </w:t>
      </w:r>
      <w:r>
        <w:rPr>
          <w:szCs w:val="24"/>
        </w:rPr>
        <w:t xml:space="preserve">of RRA </w:t>
      </w:r>
      <w:r w:rsidRPr="00344129">
        <w:rPr>
          <w:szCs w:val="24"/>
        </w:rPr>
        <w:t xml:space="preserve">are prepared on a cash basis and in line with the requirements of the Programme Based Budgeting (PBB) system. </w:t>
      </w:r>
      <w:r>
        <w:rPr>
          <w:szCs w:val="24"/>
        </w:rPr>
        <w:t xml:space="preserve">They </w:t>
      </w:r>
      <w:r w:rsidRPr="00344129">
        <w:rPr>
          <w:szCs w:val="24"/>
        </w:rPr>
        <w:t xml:space="preserve">comprise a </w:t>
      </w:r>
      <w:r>
        <w:rPr>
          <w:szCs w:val="24"/>
        </w:rPr>
        <w:t>S</w:t>
      </w:r>
      <w:r w:rsidRPr="00344129">
        <w:rPr>
          <w:szCs w:val="24"/>
        </w:rPr>
        <w:t xml:space="preserve">tatement of </w:t>
      </w:r>
      <w:r>
        <w:rPr>
          <w:szCs w:val="24"/>
        </w:rPr>
        <w:t>A</w:t>
      </w:r>
      <w:r w:rsidRPr="00344129">
        <w:rPr>
          <w:szCs w:val="24"/>
        </w:rPr>
        <w:t xml:space="preserve">ssets and </w:t>
      </w:r>
      <w:r>
        <w:rPr>
          <w:szCs w:val="24"/>
        </w:rPr>
        <w:t>L</w:t>
      </w:r>
      <w:r w:rsidRPr="00344129">
        <w:rPr>
          <w:szCs w:val="24"/>
        </w:rPr>
        <w:t>iabilities</w:t>
      </w:r>
      <w:r w:rsidR="00366561">
        <w:rPr>
          <w:szCs w:val="24"/>
        </w:rPr>
        <w:t>,</w:t>
      </w:r>
      <w:r w:rsidRPr="00344129">
        <w:rPr>
          <w:szCs w:val="24"/>
        </w:rPr>
        <w:t xml:space="preserve"> and other statements as required under Section 19(6) of the Finance and Audit Act.</w:t>
      </w:r>
    </w:p>
    <w:p w:rsidR="00366561" w:rsidRPr="00344129" w:rsidRDefault="00366561" w:rsidP="002B1576">
      <w:pPr>
        <w:jc w:val="both"/>
        <w:rPr>
          <w:szCs w:val="24"/>
        </w:rPr>
      </w:pPr>
    </w:p>
    <w:p w:rsidR="0000691A" w:rsidRDefault="0000691A" w:rsidP="002B1576">
      <w:pPr>
        <w:jc w:val="both"/>
        <w:rPr>
          <w:szCs w:val="24"/>
        </w:rPr>
      </w:pPr>
      <w:r w:rsidRPr="00344129">
        <w:rPr>
          <w:szCs w:val="24"/>
        </w:rPr>
        <w:t xml:space="preserve">It is management’s responsibility to maintain proper financial systems. This involves keeping appropriate financial records and where applicable, </w:t>
      </w:r>
      <w:r w:rsidRPr="00FE3DDE">
        <w:rPr>
          <w:szCs w:val="24"/>
        </w:rPr>
        <w:t>following generally accepted accounting principles.</w:t>
      </w:r>
      <w:r w:rsidRPr="00344129">
        <w:rPr>
          <w:szCs w:val="24"/>
        </w:rPr>
        <w:t xml:space="preserve"> The responsibilities of management also include:</w:t>
      </w:r>
    </w:p>
    <w:p w:rsidR="0000691A" w:rsidRPr="00344129" w:rsidRDefault="0000691A" w:rsidP="002B1576">
      <w:pPr>
        <w:jc w:val="both"/>
        <w:rPr>
          <w:szCs w:val="24"/>
        </w:rPr>
      </w:pPr>
    </w:p>
    <w:p w:rsidR="0000691A" w:rsidRPr="00344129" w:rsidRDefault="0000691A" w:rsidP="002B1576">
      <w:pPr>
        <w:pStyle w:val="ListParagraph"/>
        <w:numPr>
          <w:ilvl w:val="0"/>
          <w:numId w:val="1"/>
        </w:numPr>
        <w:spacing w:line="240" w:lineRule="auto"/>
        <w:ind w:left="360"/>
        <w:jc w:val="both"/>
        <w:rPr>
          <w:rFonts w:ascii="Times New Roman" w:hAnsi="Times New Roman"/>
          <w:sz w:val="24"/>
          <w:szCs w:val="24"/>
        </w:rPr>
      </w:pPr>
      <w:r w:rsidRPr="00344129">
        <w:rPr>
          <w:rFonts w:ascii="Times New Roman" w:hAnsi="Times New Roman"/>
          <w:sz w:val="24"/>
          <w:szCs w:val="24"/>
        </w:rPr>
        <w:t xml:space="preserve">ensuring that public funds are used only to the extent and for the purpose intended by the National Assembly and the Regional Assembly, </w:t>
      </w:r>
    </w:p>
    <w:p w:rsidR="0000691A" w:rsidRDefault="0000691A" w:rsidP="002B1576">
      <w:pPr>
        <w:pStyle w:val="ListParagraph"/>
        <w:spacing w:line="240" w:lineRule="auto"/>
        <w:ind w:left="360"/>
        <w:jc w:val="both"/>
        <w:rPr>
          <w:rFonts w:ascii="Times New Roman" w:hAnsi="Times New Roman"/>
          <w:sz w:val="24"/>
          <w:szCs w:val="24"/>
        </w:rPr>
      </w:pPr>
    </w:p>
    <w:p w:rsidR="0000691A" w:rsidRPr="00344129" w:rsidRDefault="0000691A" w:rsidP="002B1576">
      <w:pPr>
        <w:pStyle w:val="ListParagraph"/>
        <w:numPr>
          <w:ilvl w:val="0"/>
          <w:numId w:val="1"/>
        </w:numPr>
        <w:spacing w:line="240" w:lineRule="auto"/>
        <w:ind w:left="360"/>
        <w:jc w:val="both"/>
        <w:rPr>
          <w:rFonts w:ascii="Times New Roman" w:hAnsi="Times New Roman"/>
          <w:sz w:val="24"/>
          <w:szCs w:val="24"/>
        </w:rPr>
      </w:pPr>
      <w:r w:rsidRPr="00344129">
        <w:rPr>
          <w:rFonts w:ascii="Times New Roman" w:hAnsi="Times New Roman"/>
          <w:sz w:val="24"/>
          <w:szCs w:val="24"/>
        </w:rPr>
        <w:t>that value for money is obtained in the use of resources, and</w:t>
      </w:r>
    </w:p>
    <w:p w:rsidR="0000691A" w:rsidRDefault="0000691A" w:rsidP="002B1576">
      <w:pPr>
        <w:pStyle w:val="ListParagraph"/>
        <w:spacing w:line="240" w:lineRule="auto"/>
        <w:ind w:left="360"/>
        <w:jc w:val="both"/>
        <w:rPr>
          <w:rFonts w:ascii="Times New Roman" w:hAnsi="Times New Roman"/>
          <w:sz w:val="24"/>
          <w:szCs w:val="24"/>
        </w:rPr>
      </w:pPr>
    </w:p>
    <w:p w:rsidR="0000691A" w:rsidRPr="00344129" w:rsidRDefault="0000691A" w:rsidP="002B1576">
      <w:pPr>
        <w:pStyle w:val="ListParagraph"/>
        <w:numPr>
          <w:ilvl w:val="0"/>
          <w:numId w:val="1"/>
        </w:numPr>
        <w:spacing w:line="240" w:lineRule="auto"/>
        <w:ind w:left="360"/>
        <w:jc w:val="both"/>
        <w:rPr>
          <w:rFonts w:ascii="Times New Roman" w:hAnsi="Times New Roman"/>
          <w:sz w:val="24"/>
          <w:szCs w:val="24"/>
        </w:rPr>
      </w:pPr>
      <w:r w:rsidRPr="00344129">
        <w:rPr>
          <w:rFonts w:ascii="Times New Roman" w:hAnsi="Times New Roman"/>
          <w:sz w:val="24"/>
          <w:szCs w:val="24"/>
        </w:rPr>
        <w:t>the safe custody of assets and stores.</w:t>
      </w:r>
    </w:p>
    <w:p w:rsidR="0000691A" w:rsidRDefault="0000691A" w:rsidP="002B1576">
      <w:pPr>
        <w:jc w:val="both"/>
        <w:rPr>
          <w:szCs w:val="24"/>
        </w:rPr>
      </w:pPr>
      <w:r w:rsidRPr="003D466D">
        <w:rPr>
          <w:szCs w:val="24"/>
        </w:rPr>
        <w:t>The Programme</w:t>
      </w:r>
      <w:r>
        <w:rPr>
          <w:szCs w:val="24"/>
        </w:rPr>
        <w:t xml:space="preserve"> </w:t>
      </w:r>
      <w:r w:rsidRPr="003D466D">
        <w:rPr>
          <w:szCs w:val="24"/>
        </w:rPr>
        <w:t>Based Budget Estimates 2013 of Mauritius w</w:t>
      </w:r>
      <w:r>
        <w:rPr>
          <w:szCs w:val="24"/>
        </w:rPr>
        <w:t>ere</w:t>
      </w:r>
      <w:r w:rsidRPr="003D466D">
        <w:rPr>
          <w:szCs w:val="24"/>
        </w:rPr>
        <w:t xml:space="preserve"> approved by the National Assembly on 11 December 2012, providing </w:t>
      </w:r>
      <w:r w:rsidR="007F027E">
        <w:rPr>
          <w:szCs w:val="24"/>
        </w:rPr>
        <w:t>current grant of Rs 1,326 million</w:t>
      </w:r>
      <w:r w:rsidRPr="003D466D">
        <w:rPr>
          <w:szCs w:val="24"/>
        </w:rPr>
        <w:t xml:space="preserve"> and capital grant of Rs 3</w:t>
      </w:r>
      <w:r w:rsidR="007F027E">
        <w:rPr>
          <w:szCs w:val="24"/>
        </w:rPr>
        <w:t>90 million</w:t>
      </w:r>
      <w:r w:rsidRPr="003D466D">
        <w:rPr>
          <w:szCs w:val="24"/>
        </w:rPr>
        <w:t xml:space="preserve"> under Programme 311</w:t>
      </w:r>
      <w:r w:rsidR="007F027E">
        <w:rPr>
          <w:szCs w:val="24"/>
        </w:rPr>
        <w:t xml:space="preserve"> </w:t>
      </w:r>
      <w:r w:rsidRPr="003D466D">
        <w:rPr>
          <w:szCs w:val="24"/>
        </w:rPr>
        <w:t xml:space="preserve">- </w:t>
      </w:r>
      <w:proofErr w:type="spellStart"/>
      <w:r w:rsidRPr="003D466D">
        <w:rPr>
          <w:szCs w:val="24"/>
        </w:rPr>
        <w:t>Rodrigues</w:t>
      </w:r>
      <w:proofErr w:type="spellEnd"/>
      <w:r w:rsidRPr="003D466D">
        <w:rPr>
          <w:szCs w:val="24"/>
        </w:rPr>
        <w:t xml:space="preserve"> Development of the Prime Minister’s Office. </w:t>
      </w:r>
      <w:r w:rsidR="007F027E">
        <w:rPr>
          <w:szCs w:val="24"/>
        </w:rPr>
        <w:t>T</w:t>
      </w:r>
      <w:r w:rsidR="007F027E" w:rsidRPr="003D466D">
        <w:rPr>
          <w:szCs w:val="24"/>
        </w:rPr>
        <w:t xml:space="preserve">otal actual contribution </w:t>
      </w:r>
      <w:r w:rsidR="007F027E">
        <w:rPr>
          <w:szCs w:val="24"/>
        </w:rPr>
        <w:t xml:space="preserve">disbursed </w:t>
      </w:r>
      <w:r w:rsidR="007F027E" w:rsidRPr="003D466D">
        <w:rPr>
          <w:szCs w:val="24"/>
        </w:rPr>
        <w:t>to</w:t>
      </w:r>
      <w:r w:rsidR="007F027E">
        <w:rPr>
          <w:szCs w:val="24"/>
        </w:rPr>
        <w:t xml:space="preserve"> the RRA amounted to Rs </w:t>
      </w:r>
      <w:r w:rsidR="007F027E" w:rsidRPr="003D466D">
        <w:rPr>
          <w:szCs w:val="24"/>
        </w:rPr>
        <w:t>1,972,229,044</w:t>
      </w:r>
      <w:r w:rsidR="00EE15AD">
        <w:rPr>
          <w:szCs w:val="24"/>
        </w:rPr>
        <w:t>,</w:t>
      </w:r>
      <w:r w:rsidR="007F027E">
        <w:rPr>
          <w:szCs w:val="24"/>
        </w:rPr>
        <w:t xml:space="preserve"> including a</w:t>
      </w:r>
      <w:r w:rsidRPr="003D466D">
        <w:rPr>
          <w:szCs w:val="24"/>
        </w:rPr>
        <w:t>dditional contribution of Rs 256,230,000</w:t>
      </w:r>
      <w:r w:rsidR="007F027E">
        <w:rPr>
          <w:szCs w:val="24"/>
        </w:rPr>
        <w:t>.</w:t>
      </w:r>
      <w:r w:rsidRPr="003D466D">
        <w:rPr>
          <w:szCs w:val="24"/>
        </w:rPr>
        <w:t xml:space="preserve"> </w:t>
      </w:r>
    </w:p>
    <w:p w:rsidR="007F027E" w:rsidRDefault="007F027E" w:rsidP="002B1576">
      <w:pPr>
        <w:jc w:val="both"/>
        <w:rPr>
          <w:szCs w:val="24"/>
        </w:rPr>
      </w:pPr>
    </w:p>
    <w:p w:rsidR="007F027E" w:rsidRDefault="007F027E" w:rsidP="002B1576">
      <w:pPr>
        <w:jc w:val="both"/>
        <w:rPr>
          <w:szCs w:val="24"/>
        </w:rPr>
      </w:pPr>
    </w:p>
    <w:p w:rsidR="0000691A" w:rsidRDefault="00CC449F" w:rsidP="002B1576">
      <w:pPr>
        <w:jc w:val="both"/>
        <w:rPr>
          <w:b/>
          <w:szCs w:val="24"/>
        </w:rPr>
      </w:pPr>
      <w:r>
        <w:rPr>
          <w:b/>
          <w:szCs w:val="24"/>
        </w:rPr>
        <w:t>2.2</w:t>
      </w:r>
      <w:r w:rsidR="007B77C7">
        <w:rPr>
          <w:b/>
          <w:szCs w:val="24"/>
        </w:rPr>
        <w:t xml:space="preserve"> </w:t>
      </w:r>
      <w:r>
        <w:rPr>
          <w:b/>
          <w:szCs w:val="24"/>
        </w:rPr>
        <w:t xml:space="preserve"> </w:t>
      </w:r>
      <w:r w:rsidR="0000691A" w:rsidRPr="00344129">
        <w:rPr>
          <w:b/>
          <w:szCs w:val="24"/>
        </w:rPr>
        <w:t>Programme</w:t>
      </w:r>
      <w:r w:rsidR="0000691A">
        <w:rPr>
          <w:b/>
          <w:szCs w:val="24"/>
        </w:rPr>
        <w:t xml:space="preserve"> </w:t>
      </w:r>
      <w:r w:rsidR="0000691A" w:rsidRPr="00344129">
        <w:rPr>
          <w:b/>
          <w:szCs w:val="24"/>
        </w:rPr>
        <w:t>Based Budgeting</w:t>
      </w:r>
    </w:p>
    <w:p w:rsidR="0000691A" w:rsidRPr="00344129" w:rsidRDefault="0000691A" w:rsidP="002B1576">
      <w:pPr>
        <w:jc w:val="both"/>
        <w:rPr>
          <w:b/>
          <w:szCs w:val="24"/>
        </w:rPr>
      </w:pPr>
    </w:p>
    <w:p w:rsidR="0000691A" w:rsidRDefault="0000691A" w:rsidP="002B1576">
      <w:pPr>
        <w:jc w:val="both"/>
        <w:rPr>
          <w:szCs w:val="24"/>
        </w:rPr>
      </w:pPr>
      <w:r w:rsidRPr="00344129">
        <w:rPr>
          <w:szCs w:val="24"/>
        </w:rPr>
        <w:t>RRA prepared its annual financial statements in line with the Programme</w:t>
      </w:r>
      <w:r>
        <w:rPr>
          <w:szCs w:val="24"/>
        </w:rPr>
        <w:t xml:space="preserve"> </w:t>
      </w:r>
      <w:r w:rsidRPr="00344129">
        <w:rPr>
          <w:szCs w:val="24"/>
        </w:rPr>
        <w:t>Based Budgeting for the first time for the fiscal year ended 31 December 2010. However, no provision has so far been made in the Finance and Audit Act requiring RRA to prepare and present a statement showing</w:t>
      </w:r>
      <w:r>
        <w:rPr>
          <w:szCs w:val="24"/>
        </w:rPr>
        <w:t xml:space="preserve"> a</w:t>
      </w:r>
      <w:r w:rsidRPr="00344129">
        <w:rPr>
          <w:szCs w:val="24"/>
        </w:rPr>
        <w:t xml:space="preserve"> progress report on performance in respect of outcomes achieved and outputs delivered</w:t>
      </w:r>
      <w:r>
        <w:rPr>
          <w:szCs w:val="24"/>
        </w:rPr>
        <w:t>,</w:t>
      </w:r>
      <w:r w:rsidRPr="00344129">
        <w:rPr>
          <w:szCs w:val="24"/>
        </w:rPr>
        <w:t xml:space="preserve"> as </w:t>
      </w:r>
      <w:r>
        <w:rPr>
          <w:szCs w:val="24"/>
        </w:rPr>
        <w:t xml:space="preserve">stated in the Annual Report of the Accountant General on </w:t>
      </w:r>
      <w:r w:rsidRPr="00344129">
        <w:rPr>
          <w:szCs w:val="24"/>
        </w:rPr>
        <w:t xml:space="preserve">the </w:t>
      </w:r>
      <w:r>
        <w:rPr>
          <w:szCs w:val="24"/>
        </w:rPr>
        <w:t>A</w:t>
      </w:r>
      <w:r w:rsidRPr="00344129">
        <w:rPr>
          <w:szCs w:val="24"/>
        </w:rPr>
        <w:t xml:space="preserve">ccounts of </w:t>
      </w:r>
      <w:r>
        <w:rPr>
          <w:szCs w:val="24"/>
        </w:rPr>
        <w:t xml:space="preserve">the Republic of </w:t>
      </w:r>
      <w:r w:rsidRPr="00344129">
        <w:rPr>
          <w:szCs w:val="24"/>
        </w:rPr>
        <w:t>Mauritius.</w:t>
      </w:r>
    </w:p>
    <w:p w:rsidR="0000691A" w:rsidRPr="00344129" w:rsidRDefault="0000691A" w:rsidP="002B1576">
      <w:pPr>
        <w:jc w:val="both"/>
        <w:rPr>
          <w:szCs w:val="24"/>
        </w:rPr>
      </w:pPr>
    </w:p>
    <w:p w:rsidR="0000691A" w:rsidRDefault="00366561" w:rsidP="002B1576">
      <w:pPr>
        <w:jc w:val="both"/>
        <w:rPr>
          <w:szCs w:val="24"/>
        </w:rPr>
      </w:pPr>
      <w:r>
        <w:rPr>
          <w:szCs w:val="24"/>
        </w:rPr>
        <w:t>I</w:t>
      </w:r>
      <w:r w:rsidR="0000691A" w:rsidRPr="00344129">
        <w:rPr>
          <w:szCs w:val="24"/>
        </w:rPr>
        <w:t xml:space="preserve"> drew the attention of RRA </w:t>
      </w:r>
      <w:r w:rsidR="0000691A">
        <w:rPr>
          <w:szCs w:val="24"/>
        </w:rPr>
        <w:t xml:space="preserve">in both the 2011 and 2012 Audit Reports, of the need </w:t>
      </w:r>
      <w:r w:rsidR="0000691A" w:rsidRPr="00344129">
        <w:rPr>
          <w:szCs w:val="24"/>
        </w:rPr>
        <w:t xml:space="preserve">to submit a report on performance by the different </w:t>
      </w:r>
      <w:r w:rsidR="0000691A">
        <w:rPr>
          <w:szCs w:val="24"/>
        </w:rPr>
        <w:t>C</w:t>
      </w:r>
      <w:r w:rsidR="0000691A" w:rsidRPr="00344129">
        <w:rPr>
          <w:szCs w:val="24"/>
        </w:rPr>
        <w:t>ommissions</w:t>
      </w:r>
      <w:r w:rsidR="0000691A">
        <w:rPr>
          <w:szCs w:val="24"/>
        </w:rPr>
        <w:t>,</w:t>
      </w:r>
      <w:r w:rsidR="0000691A" w:rsidRPr="00344129">
        <w:rPr>
          <w:szCs w:val="24"/>
        </w:rPr>
        <w:t xml:space="preserve"> to be included in its Financial R</w:t>
      </w:r>
      <w:r w:rsidR="0000691A">
        <w:rPr>
          <w:szCs w:val="24"/>
        </w:rPr>
        <w:t>eport</w:t>
      </w:r>
      <w:r w:rsidR="0000691A" w:rsidRPr="00344129">
        <w:rPr>
          <w:szCs w:val="24"/>
        </w:rPr>
        <w:t xml:space="preserve">. However, such report has still not been prepared. In that connection, to make it mandatory for the RRA to prepare such report, Section 19(6) of the Finance and Audit Act needs to be amended to include the submission of a progress report on performance as a statement </w:t>
      </w:r>
      <w:r w:rsidR="0000691A">
        <w:rPr>
          <w:szCs w:val="24"/>
        </w:rPr>
        <w:t>in the Financial Report of the RRA</w:t>
      </w:r>
      <w:r w:rsidR="0000691A" w:rsidRPr="00344129">
        <w:rPr>
          <w:szCs w:val="24"/>
        </w:rPr>
        <w:t>.</w:t>
      </w:r>
    </w:p>
    <w:p w:rsidR="0069208E" w:rsidRPr="0069208E" w:rsidRDefault="0069208E" w:rsidP="002B1576">
      <w:pPr>
        <w:jc w:val="both"/>
        <w:rPr>
          <w:rFonts w:eastAsia="Calibri"/>
          <w:b/>
          <w:i/>
          <w:szCs w:val="24"/>
          <w:lang w:val="en-US"/>
        </w:rPr>
      </w:pPr>
      <w:r w:rsidRPr="0069208E">
        <w:rPr>
          <w:rFonts w:eastAsia="Calibri"/>
          <w:b/>
          <w:i/>
          <w:szCs w:val="24"/>
          <w:lang w:val="en-US"/>
        </w:rPr>
        <w:lastRenderedPageBreak/>
        <w:t>RRA’s Reply</w:t>
      </w:r>
    </w:p>
    <w:p w:rsidR="0069208E" w:rsidRPr="0069208E" w:rsidRDefault="0069208E" w:rsidP="002B1576">
      <w:pPr>
        <w:jc w:val="both"/>
        <w:rPr>
          <w:rFonts w:eastAsia="Calibri"/>
          <w:szCs w:val="24"/>
          <w:lang w:val="en-US"/>
        </w:rPr>
      </w:pPr>
    </w:p>
    <w:p w:rsidR="0069208E" w:rsidRPr="0069208E" w:rsidRDefault="0069208E" w:rsidP="002B1576">
      <w:pPr>
        <w:jc w:val="both"/>
        <w:rPr>
          <w:rFonts w:eastAsia="Calibri"/>
          <w:szCs w:val="24"/>
          <w:lang w:val="en-US"/>
        </w:rPr>
      </w:pPr>
      <w:r w:rsidRPr="0069208E">
        <w:rPr>
          <w:rFonts w:eastAsia="Calibri"/>
          <w:szCs w:val="24"/>
          <w:lang w:val="en-US"/>
        </w:rPr>
        <w:t xml:space="preserve">A Legal Consultant is working on the </w:t>
      </w:r>
      <w:proofErr w:type="spellStart"/>
      <w:r w:rsidRPr="0069208E">
        <w:rPr>
          <w:rFonts w:eastAsia="Calibri"/>
          <w:szCs w:val="24"/>
          <w:lang w:val="en-US"/>
        </w:rPr>
        <w:t>revitalisation</w:t>
      </w:r>
      <w:proofErr w:type="spellEnd"/>
      <w:r w:rsidRPr="0069208E">
        <w:rPr>
          <w:rFonts w:eastAsia="Calibri"/>
          <w:szCs w:val="24"/>
          <w:lang w:val="en-US"/>
        </w:rPr>
        <w:t xml:space="preserve"> of the RRA Act and the need to submit a progress report on performance will be included in the amended version.</w:t>
      </w:r>
    </w:p>
    <w:p w:rsidR="0069208E" w:rsidRDefault="0069208E" w:rsidP="002B1576">
      <w:pPr>
        <w:jc w:val="both"/>
        <w:rPr>
          <w:szCs w:val="24"/>
        </w:rPr>
      </w:pPr>
    </w:p>
    <w:p w:rsidR="00621FE7" w:rsidRDefault="00621FE7" w:rsidP="002B1576">
      <w:pPr>
        <w:jc w:val="both"/>
        <w:rPr>
          <w:szCs w:val="24"/>
        </w:rPr>
      </w:pPr>
    </w:p>
    <w:p w:rsidR="0000691A" w:rsidRDefault="00CC449F" w:rsidP="002B1576">
      <w:pPr>
        <w:jc w:val="both"/>
        <w:rPr>
          <w:b/>
          <w:szCs w:val="24"/>
        </w:rPr>
      </w:pPr>
      <w:r>
        <w:rPr>
          <w:b/>
          <w:szCs w:val="24"/>
        </w:rPr>
        <w:t xml:space="preserve">2.3 </w:t>
      </w:r>
      <w:r w:rsidR="007B77C7">
        <w:rPr>
          <w:b/>
          <w:szCs w:val="24"/>
        </w:rPr>
        <w:t xml:space="preserve"> </w:t>
      </w:r>
      <w:r w:rsidR="0000691A" w:rsidRPr="00344129">
        <w:rPr>
          <w:b/>
          <w:szCs w:val="24"/>
        </w:rPr>
        <w:t xml:space="preserve">Statement of Assets and Liabilities of the </w:t>
      </w:r>
      <w:proofErr w:type="spellStart"/>
      <w:r w:rsidR="0000691A" w:rsidRPr="00344129">
        <w:rPr>
          <w:b/>
          <w:szCs w:val="24"/>
        </w:rPr>
        <w:t>Rodrigues</w:t>
      </w:r>
      <w:proofErr w:type="spellEnd"/>
      <w:r w:rsidR="0000691A" w:rsidRPr="00344129">
        <w:rPr>
          <w:b/>
          <w:szCs w:val="24"/>
        </w:rPr>
        <w:t xml:space="preserve"> Regional Assembly</w:t>
      </w:r>
    </w:p>
    <w:p w:rsidR="0000691A" w:rsidRPr="00344129" w:rsidRDefault="0000691A" w:rsidP="002B1576">
      <w:pPr>
        <w:jc w:val="both"/>
        <w:rPr>
          <w:b/>
          <w:szCs w:val="24"/>
        </w:rPr>
      </w:pPr>
    </w:p>
    <w:p w:rsidR="0000691A" w:rsidRDefault="0000691A" w:rsidP="002B1576">
      <w:pPr>
        <w:jc w:val="both"/>
        <w:rPr>
          <w:szCs w:val="24"/>
        </w:rPr>
      </w:pPr>
      <w:r w:rsidRPr="00344129">
        <w:rPr>
          <w:szCs w:val="24"/>
        </w:rPr>
        <w:t xml:space="preserve">A comparative </w:t>
      </w:r>
      <w:r>
        <w:rPr>
          <w:szCs w:val="24"/>
        </w:rPr>
        <w:t>S</w:t>
      </w:r>
      <w:r w:rsidRPr="00344129">
        <w:rPr>
          <w:szCs w:val="24"/>
        </w:rPr>
        <w:t xml:space="preserve">tatement of </w:t>
      </w:r>
      <w:r>
        <w:rPr>
          <w:szCs w:val="24"/>
        </w:rPr>
        <w:t>A</w:t>
      </w:r>
      <w:r w:rsidRPr="00344129">
        <w:rPr>
          <w:szCs w:val="24"/>
        </w:rPr>
        <w:t xml:space="preserve">ssets and </w:t>
      </w:r>
      <w:r>
        <w:rPr>
          <w:szCs w:val="24"/>
        </w:rPr>
        <w:t>L</w:t>
      </w:r>
      <w:r w:rsidRPr="00344129">
        <w:rPr>
          <w:szCs w:val="24"/>
        </w:rPr>
        <w:t xml:space="preserve">iabilities </w:t>
      </w:r>
      <w:r>
        <w:rPr>
          <w:szCs w:val="24"/>
        </w:rPr>
        <w:t xml:space="preserve">as of 31 December </w:t>
      </w:r>
      <w:r w:rsidRPr="00344129">
        <w:rPr>
          <w:szCs w:val="24"/>
        </w:rPr>
        <w:t xml:space="preserve">for the </w:t>
      </w:r>
      <w:r>
        <w:rPr>
          <w:szCs w:val="24"/>
        </w:rPr>
        <w:t>p</w:t>
      </w:r>
      <w:r w:rsidRPr="00344129">
        <w:rPr>
          <w:szCs w:val="24"/>
        </w:rPr>
        <w:t xml:space="preserve">ast three fiscal years </w:t>
      </w:r>
      <w:r>
        <w:rPr>
          <w:szCs w:val="24"/>
        </w:rPr>
        <w:t>is shown</w:t>
      </w:r>
      <w:r w:rsidRPr="00344129">
        <w:rPr>
          <w:szCs w:val="24"/>
        </w:rPr>
        <w:t xml:space="preserve"> </w:t>
      </w:r>
      <w:r>
        <w:rPr>
          <w:szCs w:val="24"/>
        </w:rPr>
        <w:t>in Table 1:</w:t>
      </w:r>
    </w:p>
    <w:p w:rsidR="00621FE7" w:rsidRDefault="00621FE7" w:rsidP="002B1576">
      <w:pPr>
        <w:jc w:val="both"/>
        <w:rPr>
          <w:szCs w:val="24"/>
        </w:rPr>
      </w:pPr>
    </w:p>
    <w:p w:rsidR="0000691A" w:rsidRDefault="0000691A" w:rsidP="002B1576">
      <w:pPr>
        <w:jc w:val="center"/>
        <w:rPr>
          <w:i/>
          <w:iCs/>
          <w:szCs w:val="24"/>
        </w:rPr>
      </w:pPr>
      <w:r w:rsidRPr="00ED62D8">
        <w:rPr>
          <w:i/>
          <w:iCs/>
          <w:szCs w:val="24"/>
        </w:rPr>
        <w:t xml:space="preserve">Table </w:t>
      </w:r>
      <w:r>
        <w:rPr>
          <w:i/>
          <w:iCs/>
          <w:szCs w:val="24"/>
        </w:rPr>
        <w:t xml:space="preserve">1 </w:t>
      </w:r>
      <w:r w:rsidR="002F214A">
        <w:rPr>
          <w:i/>
          <w:iCs/>
          <w:szCs w:val="24"/>
        </w:rPr>
        <w:t xml:space="preserve"> </w:t>
      </w:r>
      <w:r w:rsidRPr="00ED62D8">
        <w:rPr>
          <w:i/>
          <w:iCs/>
          <w:szCs w:val="24"/>
        </w:rPr>
        <w:t xml:space="preserve">Assets and Liabilities </w:t>
      </w:r>
      <w:r>
        <w:rPr>
          <w:i/>
          <w:iCs/>
          <w:szCs w:val="24"/>
        </w:rPr>
        <w:t xml:space="preserve">as </w:t>
      </w:r>
      <w:r w:rsidRPr="00ED62D8">
        <w:rPr>
          <w:i/>
          <w:iCs/>
          <w:szCs w:val="24"/>
        </w:rPr>
        <w:t xml:space="preserve">of </w:t>
      </w:r>
      <w:r>
        <w:rPr>
          <w:i/>
          <w:iCs/>
          <w:szCs w:val="24"/>
        </w:rPr>
        <w:t>31 December</w:t>
      </w:r>
    </w:p>
    <w:p w:rsidR="00621FE7" w:rsidRDefault="00621FE7" w:rsidP="002B1576">
      <w:pPr>
        <w:jc w:val="center"/>
        <w:rPr>
          <w:i/>
          <w:iCs/>
          <w:szCs w:val="24"/>
        </w:rPr>
      </w:pPr>
    </w:p>
    <w:p w:rsidR="00621FE7" w:rsidRPr="00ED62D8" w:rsidRDefault="00621FE7" w:rsidP="002B1576">
      <w:pPr>
        <w:pBdr>
          <w:top w:val="single" w:sz="4" w:space="1" w:color="auto"/>
        </w:pBdr>
        <w:jc w:val="center"/>
        <w:rPr>
          <w:i/>
          <w:szCs w:val="24"/>
        </w:rPr>
      </w:pPr>
    </w:p>
    <w:tbl>
      <w:tblPr>
        <w:tblW w:w="0" w:type="auto"/>
        <w:jc w:val="center"/>
        <w:tblInd w:w="-992" w:type="dxa"/>
        <w:tblLook w:val="04A0"/>
      </w:tblPr>
      <w:tblGrid>
        <w:gridCol w:w="3401"/>
        <w:gridCol w:w="1416"/>
        <w:gridCol w:w="1545"/>
        <w:gridCol w:w="1424"/>
      </w:tblGrid>
      <w:tr w:rsidR="0000691A" w:rsidRPr="008F0136" w:rsidTr="00621FE7">
        <w:trPr>
          <w:jc w:val="center"/>
        </w:trPr>
        <w:tc>
          <w:tcPr>
            <w:tcW w:w="3401" w:type="dxa"/>
          </w:tcPr>
          <w:p w:rsidR="0000691A" w:rsidRPr="008F0136" w:rsidRDefault="0000691A" w:rsidP="002B1576">
            <w:pPr>
              <w:jc w:val="both"/>
              <w:rPr>
                <w:b/>
                <w:szCs w:val="24"/>
              </w:rPr>
            </w:pPr>
          </w:p>
        </w:tc>
        <w:tc>
          <w:tcPr>
            <w:tcW w:w="1416" w:type="dxa"/>
          </w:tcPr>
          <w:p w:rsidR="00621FE7" w:rsidRDefault="0000691A" w:rsidP="002B1576">
            <w:pPr>
              <w:jc w:val="center"/>
              <w:rPr>
                <w:b/>
                <w:szCs w:val="24"/>
              </w:rPr>
            </w:pPr>
            <w:r w:rsidRPr="008F0136">
              <w:rPr>
                <w:b/>
                <w:szCs w:val="24"/>
              </w:rPr>
              <w:t>2013</w:t>
            </w:r>
          </w:p>
          <w:p w:rsidR="0000691A" w:rsidRPr="008F0136" w:rsidRDefault="0000691A" w:rsidP="002B1576">
            <w:pPr>
              <w:jc w:val="center"/>
              <w:rPr>
                <w:b/>
                <w:szCs w:val="24"/>
              </w:rPr>
            </w:pPr>
            <w:r w:rsidRPr="008F0136">
              <w:rPr>
                <w:b/>
                <w:szCs w:val="24"/>
              </w:rPr>
              <w:t>Rs</w:t>
            </w:r>
          </w:p>
        </w:tc>
        <w:tc>
          <w:tcPr>
            <w:tcW w:w="1545" w:type="dxa"/>
          </w:tcPr>
          <w:p w:rsidR="0000691A" w:rsidRPr="008F0136" w:rsidRDefault="0000691A" w:rsidP="002B1576">
            <w:pPr>
              <w:jc w:val="center"/>
              <w:rPr>
                <w:b/>
                <w:szCs w:val="24"/>
              </w:rPr>
            </w:pPr>
            <w:r w:rsidRPr="008F0136">
              <w:rPr>
                <w:b/>
                <w:szCs w:val="24"/>
              </w:rPr>
              <w:t>2012</w:t>
            </w:r>
          </w:p>
          <w:p w:rsidR="0000691A" w:rsidRPr="008F0136" w:rsidRDefault="0000691A" w:rsidP="002B1576">
            <w:pPr>
              <w:jc w:val="center"/>
              <w:rPr>
                <w:b/>
                <w:szCs w:val="24"/>
              </w:rPr>
            </w:pPr>
            <w:r w:rsidRPr="008F0136">
              <w:rPr>
                <w:b/>
                <w:szCs w:val="24"/>
              </w:rPr>
              <w:t>Rs</w:t>
            </w:r>
          </w:p>
        </w:tc>
        <w:tc>
          <w:tcPr>
            <w:tcW w:w="1424" w:type="dxa"/>
          </w:tcPr>
          <w:p w:rsidR="0000691A" w:rsidRPr="008F0136" w:rsidRDefault="0000691A" w:rsidP="002B1576">
            <w:pPr>
              <w:jc w:val="center"/>
              <w:rPr>
                <w:b/>
                <w:szCs w:val="24"/>
              </w:rPr>
            </w:pPr>
            <w:r w:rsidRPr="008F0136">
              <w:rPr>
                <w:b/>
                <w:szCs w:val="24"/>
              </w:rPr>
              <w:t>2011</w:t>
            </w:r>
          </w:p>
          <w:p w:rsidR="0000691A" w:rsidRPr="008F0136" w:rsidRDefault="0000691A" w:rsidP="002B1576">
            <w:pPr>
              <w:jc w:val="center"/>
              <w:rPr>
                <w:b/>
                <w:szCs w:val="24"/>
              </w:rPr>
            </w:pPr>
            <w:r w:rsidRPr="008F0136">
              <w:rPr>
                <w:b/>
                <w:szCs w:val="24"/>
              </w:rPr>
              <w:t>Rs</w:t>
            </w:r>
          </w:p>
        </w:tc>
      </w:tr>
      <w:tr w:rsidR="0000691A" w:rsidRPr="008F0136" w:rsidTr="00621FE7">
        <w:trPr>
          <w:trHeight w:val="126"/>
          <w:jc w:val="center"/>
        </w:trPr>
        <w:tc>
          <w:tcPr>
            <w:tcW w:w="3401" w:type="dxa"/>
          </w:tcPr>
          <w:p w:rsidR="0000691A" w:rsidRPr="008F0136" w:rsidRDefault="0000691A" w:rsidP="002B1576">
            <w:pPr>
              <w:jc w:val="both"/>
              <w:rPr>
                <w:b/>
                <w:szCs w:val="24"/>
              </w:rPr>
            </w:pPr>
            <w:r w:rsidRPr="008F0136">
              <w:rPr>
                <w:b/>
                <w:szCs w:val="24"/>
              </w:rPr>
              <w:t>Assets</w:t>
            </w:r>
          </w:p>
        </w:tc>
        <w:tc>
          <w:tcPr>
            <w:tcW w:w="1416" w:type="dxa"/>
          </w:tcPr>
          <w:p w:rsidR="0000691A" w:rsidRPr="008F0136" w:rsidRDefault="0000691A" w:rsidP="002B1576">
            <w:pPr>
              <w:spacing w:after="120"/>
              <w:jc w:val="both"/>
              <w:rPr>
                <w:szCs w:val="24"/>
              </w:rPr>
            </w:pPr>
          </w:p>
        </w:tc>
        <w:tc>
          <w:tcPr>
            <w:tcW w:w="1545" w:type="dxa"/>
          </w:tcPr>
          <w:p w:rsidR="0000691A" w:rsidRPr="008F0136" w:rsidRDefault="0000691A" w:rsidP="002B1576">
            <w:pPr>
              <w:spacing w:after="120"/>
              <w:jc w:val="both"/>
              <w:rPr>
                <w:szCs w:val="24"/>
              </w:rPr>
            </w:pPr>
          </w:p>
        </w:tc>
        <w:tc>
          <w:tcPr>
            <w:tcW w:w="1424" w:type="dxa"/>
          </w:tcPr>
          <w:p w:rsidR="0000691A" w:rsidRPr="008F0136" w:rsidRDefault="0000691A" w:rsidP="002B1576">
            <w:pPr>
              <w:spacing w:after="120"/>
              <w:jc w:val="both"/>
              <w:rPr>
                <w:szCs w:val="24"/>
              </w:rPr>
            </w:pPr>
          </w:p>
        </w:tc>
      </w:tr>
      <w:tr w:rsidR="0000691A" w:rsidRPr="008F0136" w:rsidTr="00621FE7">
        <w:trPr>
          <w:jc w:val="center"/>
        </w:trPr>
        <w:tc>
          <w:tcPr>
            <w:tcW w:w="3401" w:type="dxa"/>
          </w:tcPr>
          <w:p w:rsidR="0000691A" w:rsidRPr="008F0136" w:rsidRDefault="0000691A" w:rsidP="002B1576">
            <w:pPr>
              <w:spacing w:after="120"/>
              <w:jc w:val="both"/>
              <w:rPr>
                <w:szCs w:val="24"/>
              </w:rPr>
            </w:pPr>
            <w:r w:rsidRPr="008F0136">
              <w:rPr>
                <w:szCs w:val="24"/>
              </w:rPr>
              <w:t>Cash and Bank balances</w:t>
            </w:r>
          </w:p>
        </w:tc>
        <w:tc>
          <w:tcPr>
            <w:tcW w:w="1416" w:type="dxa"/>
          </w:tcPr>
          <w:p w:rsidR="0000691A" w:rsidRPr="008F0136" w:rsidRDefault="0000691A" w:rsidP="002B1576">
            <w:pPr>
              <w:spacing w:after="120"/>
              <w:jc w:val="right"/>
              <w:rPr>
                <w:szCs w:val="24"/>
              </w:rPr>
            </w:pPr>
            <w:r w:rsidRPr="008F0136">
              <w:rPr>
                <w:szCs w:val="24"/>
              </w:rPr>
              <w:t>100,800,095</w:t>
            </w:r>
          </w:p>
        </w:tc>
        <w:tc>
          <w:tcPr>
            <w:tcW w:w="1545" w:type="dxa"/>
          </w:tcPr>
          <w:p w:rsidR="0000691A" w:rsidRPr="008F0136" w:rsidRDefault="0000691A" w:rsidP="002B1576">
            <w:pPr>
              <w:spacing w:after="120"/>
              <w:jc w:val="right"/>
              <w:rPr>
                <w:szCs w:val="24"/>
              </w:rPr>
            </w:pPr>
            <w:r w:rsidRPr="008F0136">
              <w:rPr>
                <w:szCs w:val="24"/>
              </w:rPr>
              <w:t>69,439,712</w:t>
            </w:r>
          </w:p>
        </w:tc>
        <w:tc>
          <w:tcPr>
            <w:tcW w:w="1424" w:type="dxa"/>
          </w:tcPr>
          <w:p w:rsidR="0000691A" w:rsidRPr="008F0136" w:rsidRDefault="0000691A" w:rsidP="002B1576">
            <w:pPr>
              <w:spacing w:after="120"/>
              <w:jc w:val="right"/>
              <w:rPr>
                <w:szCs w:val="24"/>
              </w:rPr>
            </w:pPr>
            <w:r w:rsidRPr="008F0136">
              <w:rPr>
                <w:szCs w:val="24"/>
              </w:rPr>
              <w:t>57,072,539</w:t>
            </w:r>
          </w:p>
        </w:tc>
      </w:tr>
      <w:tr w:rsidR="0000691A" w:rsidRPr="008F0136" w:rsidTr="00621FE7">
        <w:trPr>
          <w:jc w:val="center"/>
        </w:trPr>
        <w:tc>
          <w:tcPr>
            <w:tcW w:w="3401" w:type="dxa"/>
          </w:tcPr>
          <w:p w:rsidR="0000691A" w:rsidRPr="008F0136" w:rsidRDefault="0000691A" w:rsidP="002B1576">
            <w:pPr>
              <w:spacing w:after="120"/>
              <w:jc w:val="both"/>
              <w:rPr>
                <w:szCs w:val="24"/>
              </w:rPr>
            </w:pPr>
            <w:r w:rsidRPr="008F0136">
              <w:rPr>
                <w:szCs w:val="24"/>
              </w:rPr>
              <w:t>Advances</w:t>
            </w:r>
          </w:p>
        </w:tc>
        <w:tc>
          <w:tcPr>
            <w:tcW w:w="1416" w:type="dxa"/>
          </w:tcPr>
          <w:p w:rsidR="0000691A" w:rsidRPr="008F0136" w:rsidRDefault="0000691A" w:rsidP="002B1576">
            <w:pPr>
              <w:spacing w:after="120"/>
              <w:jc w:val="right"/>
              <w:rPr>
                <w:szCs w:val="24"/>
              </w:rPr>
            </w:pPr>
            <w:r w:rsidRPr="008F0136">
              <w:rPr>
                <w:szCs w:val="24"/>
              </w:rPr>
              <w:t>54,868,870</w:t>
            </w:r>
          </w:p>
        </w:tc>
        <w:tc>
          <w:tcPr>
            <w:tcW w:w="1545" w:type="dxa"/>
          </w:tcPr>
          <w:p w:rsidR="0000691A" w:rsidRPr="008F0136" w:rsidRDefault="0000691A" w:rsidP="002B1576">
            <w:pPr>
              <w:spacing w:after="120"/>
              <w:jc w:val="right"/>
              <w:rPr>
                <w:szCs w:val="24"/>
              </w:rPr>
            </w:pPr>
            <w:r w:rsidRPr="008F0136">
              <w:rPr>
                <w:szCs w:val="24"/>
              </w:rPr>
              <w:t>35,101,442</w:t>
            </w:r>
          </w:p>
        </w:tc>
        <w:tc>
          <w:tcPr>
            <w:tcW w:w="1424" w:type="dxa"/>
          </w:tcPr>
          <w:p w:rsidR="0000691A" w:rsidRPr="008F0136" w:rsidRDefault="0000691A" w:rsidP="002B1576">
            <w:pPr>
              <w:spacing w:after="120"/>
              <w:jc w:val="right"/>
              <w:rPr>
                <w:szCs w:val="24"/>
              </w:rPr>
            </w:pPr>
            <w:r w:rsidRPr="008F0136">
              <w:rPr>
                <w:szCs w:val="24"/>
              </w:rPr>
              <w:t>35,196,436</w:t>
            </w:r>
          </w:p>
        </w:tc>
      </w:tr>
      <w:tr w:rsidR="0000691A" w:rsidRPr="008F0136" w:rsidTr="00621FE7">
        <w:trPr>
          <w:trHeight w:val="477"/>
          <w:jc w:val="center"/>
        </w:trPr>
        <w:tc>
          <w:tcPr>
            <w:tcW w:w="3401" w:type="dxa"/>
          </w:tcPr>
          <w:p w:rsidR="0000691A" w:rsidRPr="008F0136" w:rsidRDefault="0000691A" w:rsidP="002B1576">
            <w:pPr>
              <w:spacing w:after="120"/>
              <w:jc w:val="both"/>
              <w:rPr>
                <w:b/>
                <w:szCs w:val="24"/>
              </w:rPr>
            </w:pPr>
            <w:r w:rsidRPr="008F0136">
              <w:rPr>
                <w:b/>
                <w:szCs w:val="24"/>
              </w:rPr>
              <w:t>Total</w:t>
            </w:r>
          </w:p>
        </w:tc>
        <w:tc>
          <w:tcPr>
            <w:tcW w:w="1416" w:type="dxa"/>
          </w:tcPr>
          <w:p w:rsidR="0000691A" w:rsidRPr="008F0136" w:rsidRDefault="0000691A" w:rsidP="002B1576">
            <w:pPr>
              <w:spacing w:after="120"/>
              <w:jc w:val="right"/>
              <w:rPr>
                <w:b/>
                <w:szCs w:val="24"/>
              </w:rPr>
            </w:pPr>
            <w:r w:rsidRPr="008F0136">
              <w:rPr>
                <w:b/>
                <w:szCs w:val="24"/>
              </w:rPr>
              <w:t>155,668,965</w:t>
            </w:r>
          </w:p>
        </w:tc>
        <w:tc>
          <w:tcPr>
            <w:tcW w:w="1545" w:type="dxa"/>
          </w:tcPr>
          <w:p w:rsidR="0000691A" w:rsidRPr="008F0136" w:rsidRDefault="0000691A" w:rsidP="002B1576">
            <w:pPr>
              <w:spacing w:after="120"/>
              <w:jc w:val="right"/>
              <w:rPr>
                <w:b/>
                <w:szCs w:val="24"/>
              </w:rPr>
            </w:pPr>
            <w:r w:rsidRPr="008F0136">
              <w:rPr>
                <w:b/>
                <w:szCs w:val="24"/>
              </w:rPr>
              <w:t>104,541,154</w:t>
            </w:r>
          </w:p>
        </w:tc>
        <w:tc>
          <w:tcPr>
            <w:tcW w:w="1424" w:type="dxa"/>
          </w:tcPr>
          <w:p w:rsidR="0000691A" w:rsidRPr="008F0136" w:rsidRDefault="0000691A" w:rsidP="002B1576">
            <w:pPr>
              <w:spacing w:after="120"/>
              <w:jc w:val="right"/>
              <w:rPr>
                <w:b/>
                <w:szCs w:val="24"/>
              </w:rPr>
            </w:pPr>
            <w:r w:rsidRPr="008F0136">
              <w:rPr>
                <w:b/>
                <w:szCs w:val="24"/>
              </w:rPr>
              <w:t>92,268,975</w:t>
            </w:r>
          </w:p>
        </w:tc>
      </w:tr>
      <w:tr w:rsidR="0000691A" w:rsidRPr="008F0136" w:rsidTr="00621FE7">
        <w:trPr>
          <w:jc w:val="center"/>
        </w:trPr>
        <w:tc>
          <w:tcPr>
            <w:tcW w:w="3401" w:type="dxa"/>
          </w:tcPr>
          <w:p w:rsidR="0000691A" w:rsidRPr="008F0136" w:rsidRDefault="0000691A" w:rsidP="002B1576">
            <w:pPr>
              <w:spacing w:after="120"/>
              <w:jc w:val="both"/>
              <w:rPr>
                <w:b/>
                <w:szCs w:val="24"/>
              </w:rPr>
            </w:pPr>
            <w:r w:rsidRPr="008F0136">
              <w:rPr>
                <w:b/>
                <w:szCs w:val="24"/>
              </w:rPr>
              <w:t>Liabilities</w:t>
            </w:r>
          </w:p>
        </w:tc>
        <w:tc>
          <w:tcPr>
            <w:tcW w:w="1416" w:type="dxa"/>
          </w:tcPr>
          <w:p w:rsidR="0000691A" w:rsidRPr="008F0136" w:rsidRDefault="0000691A" w:rsidP="002B1576">
            <w:pPr>
              <w:spacing w:after="120"/>
              <w:jc w:val="right"/>
              <w:rPr>
                <w:szCs w:val="24"/>
              </w:rPr>
            </w:pPr>
          </w:p>
        </w:tc>
        <w:tc>
          <w:tcPr>
            <w:tcW w:w="1545" w:type="dxa"/>
          </w:tcPr>
          <w:p w:rsidR="0000691A" w:rsidRPr="008F0136" w:rsidRDefault="0000691A" w:rsidP="002B1576">
            <w:pPr>
              <w:spacing w:after="120"/>
              <w:jc w:val="right"/>
              <w:rPr>
                <w:szCs w:val="24"/>
              </w:rPr>
            </w:pPr>
          </w:p>
        </w:tc>
        <w:tc>
          <w:tcPr>
            <w:tcW w:w="1424" w:type="dxa"/>
          </w:tcPr>
          <w:p w:rsidR="0000691A" w:rsidRPr="008F0136" w:rsidRDefault="0000691A" w:rsidP="002B1576">
            <w:pPr>
              <w:spacing w:after="120"/>
              <w:jc w:val="right"/>
              <w:rPr>
                <w:szCs w:val="24"/>
              </w:rPr>
            </w:pPr>
          </w:p>
        </w:tc>
      </w:tr>
      <w:tr w:rsidR="0000691A" w:rsidRPr="008F0136" w:rsidTr="00621FE7">
        <w:trPr>
          <w:jc w:val="center"/>
        </w:trPr>
        <w:tc>
          <w:tcPr>
            <w:tcW w:w="3401" w:type="dxa"/>
          </w:tcPr>
          <w:p w:rsidR="0000691A" w:rsidRPr="008F0136" w:rsidRDefault="0000691A" w:rsidP="002B1576">
            <w:pPr>
              <w:spacing w:after="120"/>
              <w:jc w:val="both"/>
              <w:rPr>
                <w:szCs w:val="24"/>
              </w:rPr>
            </w:pPr>
            <w:proofErr w:type="spellStart"/>
            <w:r w:rsidRPr="008F0136">
              <w:rPr>
                <w:szCs w:val="24"/>
              </w:rPr>
              <w:t>Rodrigues</w:t>
            </w:r>
            <w:proofErr w:type="spellEnd"/>
            <w:r w:rsidRPr="008F0136">
              <w:rPr>
                <w:szCs w:val="24"/>
              </w:rPr>
              <w:t xml:space="preserve"> Consolidated Fund</w:t>
            </w:r>
          </w:p>
        </w:tc>
        <w:tc>
          <w:tcPr>
            <w:tcW w:w="1416" w:type="dxa"/>
          </w:tcPr>
          <w:p w:rsidR="0000691A" w:rsidRPr="008F0136" w:rsidRDefault="0000691A" w:rsidP="002B1576">
            <w:pPr>
              <w:spacing w:after="120"/>
              <w:jc w:val="right"/>
              <w:rPr>
                <w:szCs w:val="24"/>
              </w:rPr>
            </w:pPr>
            <w:r w:rsidRPr="008F0136">
              <w:rPr>
                <w:szCs w:val="24"/>
              </w:rPr>
              <w:t>43,166,517</w:t>
            </w:r>
          </w:p>
        </w:tc>
        <w:tc>
          <w:tcPr>
            <w:tcW w:w="1545" w:type="dxa"/>
          </w:tcPr>
          <w:p w:rsidR="0000691A" w:rsidRPr="008F0136" w:rsidRDefault="0000691A" w:rsidP="002B1576">
            <w:pPr>
              <w:spacing w:after="120"/>
              <w:jc w:val="right"/>
              <w:rPr>
                <w:szCs w:val="24"/>
              </w:rPr>
            </w:pPr>
            <w:r w:rsidRPr="008F0136">
              <w:rPr>
                <w:szCs w:val="24"/>
              </w:rPr>
              <w:t>14,805,181</w:t>
            </w:r>
          </w:p>
        </w:tc>
        <w:tc>
          <w:tcPr>
            <w:tcW w:w="1424" w:type="dxa"/>
          </w:tcPr>
          <w:p w:rsidR="0000691A" w:rsidRPr="008F0136" w:rsidRDefault="0000691A" w:rsidP="002B1576">
            <w:pPr>
              <w:spacing w:after="120"/>
              <w:jc w:val="right"/>
              <w:rPr>
                <w:szCs w:val="24"/>
              </w:rPr>
            </w:pPr>
            <w:r w:rsidRPr="008F0136">
              <w:rPr>
                <w:szCs w:val="24"/>
              </w:rPr>
              <w:t>13,940,916</w:t>
            </w:r>
          </w:p>
        </w:tc>
      </w:tr>
      <w:tr w:rsidR="0000691A" w:rsidRPr="008F0136" w:rsidTr="00621FE7">
        <w:trPr>
          <w:jc w:val="center"/>
        </w:trPr>
        <w:tc>
          <w:tcPr>
            <w:tcW w:w="3401" w:type="dxa"/>
          </w:tcPr>
          <w:p w:rsidR="0000691A" w:rsidRPr="008F0136" w:rsidRDefault="0000691A" w:rsidP="002B1576">
            <w:pPr>
              <w:spacing w:after="120"/>
              <w:jc w:val="both"/>
              <w:rPr>
                <w:szCs w:val="24"/>
              </w:rPr>
            </w:pPr>
            <w:r w:rsidRPr="008F0136">
              <w:rPr>
                <w:szCs w:val="24"/>
              </w:rPr>
              <w:t>Deposits</w:t>
            </w:r>
          </w:p>
        </w:tc>
        <w:tc>
          <w:tcPr>
            <w:tcW w:w="1416" w:type="dxa"/>
          </w:tcPr>
          <w:p w:rsidR="0000691A" w:rsidRPr="008F0136" w:rsidRDefault="0000691A" w:rsidP="002B1576">
            <w:pPr>
              <w:spacing w:after="120"/>
              <w:jc w:val="right"/>
              <w:rPr>
                <w:szCs w:val="24"/>
              </w:rPr>
            </w:pPr>
            <w:r w:rsidRPr="008F0136">
              <w:rPr>
                <w:szCs w:val="24"/>
              </w:rPr>
              <w:t>59,759,671</w:t>
            </w:r>
          </w:p>
        </w:tc>
        <w:tc>
          <w:tcPr>
            <w:tcW w:w="1545" w:type="dxa"/>
          </w:tcPr>
          <w:p w:rsidR="0000691A" w:rsidRPr="008F0136" w:rsidRDefault="0000691A" w:rsidP="002B1576">
            <w:pPr>
              <w:spacing w:after="120"/>
              <w:jc w:val="right"/>
              <w:rPr>
                <w:szCs w:val="24"/>
              </w:rPr>
            </w:pPr>
            <w:r w:rsidRPr="008F0136">
              <w:rPr>
                <w:szCs w:val="24"/>
              </w:rPr>
              <w:t>53,401,718</w:t>
            </w:r>
          </w:p>
        </w:tc>
        <w:tc>
          <w:tcPr>
            <w:tcW w:w="1424" w:type="dxa"/>
          </w:tcPr>
          <w:p w:rsidR="0000691A" w:rsidRPr="008F0136" w:rsidRDefault="0000691A" w:rsidP="002B1576">
            <w:pPr>
              <w:spacing w:after="120"/>
              <w:jc w:val="right"/>
              <w:rPr>
                <w:szCs w:val="24"/>
              </w:rPr>
            </w:pPr>
            <w:r w:rsidRPr="008F0136">
              <w:rPr>
                <w:szCs w:val="24"/>
              </w:rPr>
              <w:t>42,484,297</w:t>
            </w:r>
          </w:p>
        </w:tc>
      </w:tr>
      <w:tr w:rsidR="0000691A" w:rsidRPr="008F0136" w:rsidTr="00621FE7">
        <w:trPr>
          <w:jc w:val="center"/>
        </w:trPr>
        <w:tc>
          <w:tcPr>
            <w:tcW w:w="3401" w:type="dxa"/>
          </w:tcPr>
          <w:p w:rsidR="0000691A" w:rsidRPr="008F0136" w:rsidRDefault="0000691A" w:rsidP="002B1576">
            <w:pPr>
              <w:spacing w:after="120"/>
              <w:jc w:val="both"/>
              <w:rPr>
                <w:szCs w:val="24"/>
              </w:rPr>
            </w:pPr>
            <w:r w:rsidRPr="008F0136">
              <w:rPr>
                <w:szCs w:val="24"/>
              </w:rPr>
              <w:t>Loan from Govt. of Mauritius</w:t>
            </w:r>
          </w:p>
        </w:tc>
        <w:tc>
          <w:tcPr>
            <w:tcW w:w="1416" w:type="dxa"/>
          </w:tcPr>
          <w:p w:rsidR="0000691A" w:rsidRPr="008F0136" w:rsidRDefault="0000691A" w:rsidP="002B1576">
            <w:pPr>
              <w:spacing w:after="120"/>
              <w:jc w:val="right"/>
              <w:rPr>
                <w:szCs w:val="24"/>
              </w:rPr>
            </w:pPr>
            <w:r w:rsidRPr="008F0136">
              <w:rPr>
                <w:szCs w:val="24"/>
              </w:rPr>
              <w:t>52,742,777</w:t>
            </w:r>
          </w:p>
        </w:tc>
        <w:tc>
          <w:tcPr>
            <w:tcW w:w="1545" w:type="dxa"/>
          </w:tcPr>
          <w:p w:rsidR="0000691A" w:rsidRPr="008F0136" w:rsidRDefault="0000691A" w:rsidP="002B1576">
            <w:pPr>
              <w:spacing w:after="120"/>
              <w:jc w:val="right"/>
              <w:rPr>
                <w:szCs w:val="24"/>
              </w:rPr>
            </w:pPr>
            <w:r w:rsidRPr="008F0136">
              <w:rPr>
                <w:szCs w:val="24"/>
              </w:rPr>
              <w:t>36,334,255</w:t>
            </w:r>
          </w:p>
        </w:tc>
        <w:tc>
          <w:tcPr>
            <w:tcW w:w="1424" w:type="dxa"/>
          </w:tcPr>
          <w:p w:rsidR="0000691A" w:rsidRPr="008F0136" w:rsidRDefault="0000691A" w:rsidP="002B1576">
            <w:pPr>
              <w:spacing w:after="120"/>
              <w:jc w:val="right"/>
              <w:rPr>
                <w:szCs w:val="24"/>
              </w:rPr>
            </w:pPr>
            <w:r w:rsidRPr="008F0136">
              <w:rPr>
                <w:szCs w:val="24"/>
              </w:rPr>
              <w:t>35,843,762</w:t>
            </w:r>
          </w:p>
        </w:tc>
      </w:tr>
      <w:tr w:rsidR="0000691A" w:rsidRPr="008F0136" w:rsidTr="00621FE7">
        <w:trPr>
          <w:trHeight w:val="297"/>
          <w:jc w:val="center"/>
        </w:trPr>
        <w:tc>
          <w:tcPr>
            <w:tcW w:w="3401" w:type="dxa"/>
          </w:tcPr>
          <w:p w:rsidR="0000691A" w:rsidRPr="008F0136" w:rsidRDefault="0000691A" w:rsidP="002B1576">
            <w:pPr>
              <w:spacing w:after="120"/>
              <w:jc w:val="both"/>
              <w:rPr>
                <w:b/>
                <w:szCs w:val="24"/>
              </w:rPr>
            </w:pPr>
            <w:r w:rsidRPr="008F0136">
              <w:rPr>
                <w:b/>
                <w:szCs w:val="24"/>
              </w:rPr>
              <w:t>Total</w:t>
            </w:r>
          </w:p>
        </w:tc>
        <w:tc>
          <w:tcPr>
            <w:tcW w:w="1416" w:type="dxa"/>
            <w:vAlign w:val="bottom"/>
          </w:tcPr>
          <w:p w:rsidR="0000691A" w:rsidRPr="008F0136" w:rsidRDefault="0000691A" w:rsidP="002B1576">
            <w:pPr>
              <w:spacing w:after="120"/>
              <w:jc w:val="right"/>
              <w:rPr>
                <w:b/>
                <w:szCs w:val="24"/>
              </w:rPr>
            </w:pPr>
            <w:r w:rsidRPr="008F0136">
              <w:rPr>
                <w:b/>
                <w:szCs w:val="24"/>
              </w:rPr>
              <w:t>155,668,965</w:t>
            </w:r>
          </w:p>
        </w:tc>
        <w:tc>
          <w:tcPr>
            <w:tcW w:w="1545" w:type="dxa"/>
            <w:vAlign w:val="bottom"/>
          </w:tcPr>
          <w:p w:rsidR="0000691A" w:rsidRPr="008F0136" w:rsidRDefault="0000691A" w:rsidP="002B1576">
            <w:pPr>
              <w:spacing w:after="120"/>
              <w:jc w:val="right"/>
              <w:rPr>
                <w:b/>
                <w:szCs w:val="24"/>
              </w:rPr>
            </w:pPr>
            <w:r w:rsidRPr="008F0136">
              <w:rPr>
                <w:b/>
                <w:szCs w:val="24"/>
              </w:rPr>
              <w:t>104,541,154</w:t>
            </w:r>
          </w:p>
        </w:tc>
        <w:tc>
          <w:tcPr>
            <w:tcW w:w="1424" w:type="dxa"/>
            <w:vAlign w:val="bottom"/>
          </w:tcPr>
          <w:p w:rsidR="0000691A" w:rsidRPr="008F0136" w:rsidRDefault="0000691A" w:rsidP="002B1576">
            <w:pPr>
              <w:spacing w:after="120"/>
              <w:jc w:val="right"/>
              <w:rPr>
                <w:b/>
                <w:szCs w:val="24"/>
              </w:rPr>
            </w:pPr>
            <w:r w:rsidRPr="008F0136">
              <w:rPr>
                <w:b/>
                <w:szCs w:val="24"/>
              </w:rPr>
              <w:t>92,268,975</w:t>
            </w:r>
          </w:p>
        </w:tc>
      </w:tr>
    </w:tbl>
    <w:p w:rsidR="0000691A" w:rsidRDefault="0000691A" w:rsidP="002B1576">
      <w:pPr>
        <w:pBdr>
          <w:bottom w:val="single" w:sz="4" w:space="1" w:color="auto"/>
        </w:pBdr>
        <w:jc w:val="both"/>
        <w:rPr>
          <w:szCs w:val="24"/>
        </w:rPr>
      </w:pPr>
    </w:p>
    <w:p w:rsidR="0000691A" w:rsidRDefault="0000691A" w:rsidP="002B1576">
      <w:pPr>
        <w:jc w:val="both"/>
        <w:rPr>
          <w:szCs w:val="24"/>
        </w:rPr>
      </w:pPr>
    </w:p>
    <w:p w:rsidR="0000691A" w:rsidRDefault="0000691A" w:rsidP="002B1576">
      <w:pPr>
        <w:jc w:val="both"/>
        <w:rPr>
          <w:szCs w:val="24"/>
        </w:rPr>
      </w:pPr>
      <w:r w:rsidRPr="00344129">
        <w:rPr>
          <w:szCs w:val="24"/>
        </w:rPr>
        <w:t xml:space="preserve">The accounts of the RRA were prepared on a cash basis. </w:t>
      </w:r>
      <w:r>
        <w:rPr>
          <w:szCs w:val="24"/>
        </w:rPr>
        <w:t>C</w:t>
      </w:r>
      <w:r w:rsidRPr="00344129">
        <w:rPr>
          <w:szCs w:val="24"/>
        </w:rPr>
        <w:t xml:space="preserve">urrent assets, such as arrears of revenue amounting to Rs </w:t>
      </w:r>
      <w:r w:rsidRPr="002D3BA2">
        <w:rPr>
          <w:szCs w:val="24"/>
        </w:rPr>
        <w:t>25,430,841 as of 31 December 2013,</w:t>
      </w:r>
      <w:r>
        <w:rPr>
          <w:szCs w:val="24"/>
        </w:rPr>
        <w:t xml:space="preserve"> and</w:t>
      </w:r>
      <w:r w:rsidRPr="00344129">
        <w:rPr>
          <w:szCs w:val="24"/>
        </w:rPr>
        <w:t xml:space="preserve"> liabilities, such as pension liabilities, passage benefits</w:t>
      </w:r>
      <w:r>
        <w:rPr>
          <w:szCs w:val="24"/>
        </w:rPr>
        <w:t>,</w:t>
      </w:r>
      <w:r w:rsidRPr="00344129">
        <w:rPr>
          <w:szCs w:val="24"/>
        </w:rPr>
        <w:t xml:space="preserve"> the monetary value of accumulated sick leave</w:t>
      </w:r>
      <w:r>
        <w:rPr>
          <w:szCs w:val="24"/>
        </w:rPr>
        <w:t>s</w:t>
      </w:r>
      <w:r w:rsidRPr="00344129">
        <w:rPr>
          <w:szCs w:val="24"/>
        </w:rPr>
        <w:t xml:space="preserve"> </w:t>
      </w:r>
      <w:r>
        <w:rPr>
          <w:szCs w:val="24"/>
        </w:rPr>
        <w:t xml:space="preserve">and vacation leaves </w:t>
      </w:r>
      <w:r w:rsidRPr="00344129">
        <w:rPr>
          <w:szCs w:val="24"/>
        </w:rPr>
        <w:t xml:space="preserve">were therefore not disclosed in the </w:t>
      </w:r>
      <w:r>
        <w:rPr>
          <w:szCs w:val="24"/>
        </w:rPr>
        <w:t>S</w:t>
      </w:r>
      <w:r w:rsidRPr="00344129">
        <w:rPr>
          <w:szCs w:val="24"/>
        </w:rPr>
        <w:t xml:space="preserve">tatement of </w:t>
      </w:r>
      <w:r>
        <w:rPr>
          <w:szCs w:val="24"/>
        </w:rPr>
        <w:t>A</w:t>
      </w:r>
      <w:r w:rsidRPr="00344129">
        <w:rPr>
          <w:szCs w:val="24"/>
        </w:rPr>
        <w:t xml:space="preserve">ssets and </w:t>
      </w:r>
      <w:r>
        <w:rPr>
          <w:szCs w:val="24"/>
        </w:rPr>
        <w:t>L</w:t>
      </w:r>
      <w:r w:rsidRPr="00344129">
        <w:rPr>
          <w:szCs w:val="24"/>
        </w:rPr>
        <w:t xml:space="preserve">iabilities. </w:t>
      </w:r>
    </w:p>
    <w:p w:rsidR="0000691A" w:rsidRDefault="0000691A" w:rsidP="002B1576">
      <w:pPr>
        <w:jc w:val="both"/>
        <w:rPr>
          <w:szCs w:val="24"/>
        </w:rPr>
      </w:pPr>
    </w:p>
    <w:p w:rsidR="0069208E" w:rsidRPr="0069208E" w:rsidRDefault="0069208E" w:rsidP="002B1576">
      <w:pPr>
        <w:jc w:val="both"/>
        <w:rPr>
          <w:rFonts w:eastAsia="Calibri"/>
          <w:b/>
          <w:i/>
          <w:szCs w:val="24"/>
          <w:lang w:val="en-US"/>
        </w:rPr>
      </w:pPr>
      <w:r w:rsidRPr="0069208E">
        <w:rPr>
          <w:rFonts w:eastAsia="Calibri"/>
          <w:b/>
          <w:i/>
          <w:szCs w:val="24"/>
          <w:lang w:val="en-US"/>
        </w:rPr>
        <w:t>RRA’s Reply</w:t>
      </w:r>
    </w:p>
    <w:p w:rsidR="0069208E" w:rsidRPr="0069208E" w:rsidRDefault="0069208E" w:rsidP="002B1576">
      <w:pPr>
        <w:jc w:val="both"/>
        <w:rPr>
          <w:rFonts w:eastAsia="Calibri"/>
          <w:szCs w:val="24"/>
          <w:lang w:val="en-US"/>
        </w:rPr>
      </w:pPr>
    </w:p>
    <w:p w:rsidR="0069208E" w:rsidRPr="0069208E" w:rsidRDefault="0069208E" w:rsidP="002B1576">
      <w:pPr>
        <w:jc w:val="both"/>
        <w:rPr>
          <w:rFonts w:eastAsia="Calibri"/>
          <w:szCs w:val="24"/>
          <w:lang w:val="en-US"/>
        </w:rPr>
      </w:pPr>
      <w:r w:rsidRPr="0069208E">
        <w:rPr>
          <w:rFonts w:eastAsia="Calibri"/>
          <w:szCs w:val="24"/>
          <w:lang w:val="en-US"/>
        </w:rPr>
        <w:t>The accounts of the RRA are prepared on a cash basis in line with the current policy of Central Government. The RRA will follow suit when the main land will shift to accrual accounting whereby prepayments and accruals will be disclosed in the Final Accounts.</w:t>
      </w:r>
    </w:p>
    <w:p w:rsidR="0069208E" w:rsidRPr="0069208E" w:rsidRDefault="0069208E" w:rsidP="002B1576">
      <w:pPr>
        <w:jc w:val="both"/>
        <w:rPr>
          <w:rFonts w:eastAsia="Calibri"/>
          <w:szCs w:val="24"/>
          <w:lang w:val="en-US"/>
        </w:rPr>
      </w:pPr>
    </w:p>
    <w:p w:rsidR="0069208E" w:rsidRDefault="0069208E" w:rsidP="002B1576">
      <w:pPr>
        <w:jc w:val="both"/>
        <w:rPr>
          <w:szCs w:val="24"/>
        </w:rPr>
      </w:pPr>
    </w:p>
    <w:p w:rsidR="0000691A" w:rsidRPr="00CC449F" w:rsidRDefault="00CC449F" w:rsidP="002B1576">
      <w:pPr>
        <w:jc w:val="both"/>
        <w:rPr>
          <w:b/>
          <w:i/>
          <w:szCs w:val="24"/>
        </w:rPr>
      </w:pPr>
      <w:r w:rsidRPr="00CC449F">
        <w:rPr>
          <w:b/>
          <w:i/>
          <w:szCs w:val="24"/>
        </w:rPr>
        <w:t xml:space="preserve">2.3.1 </w:t>
      </w:r>
      <w:r w:rsidR="007B77C7">
        <w:rPr>
          <w:b/>
          <w:i/>
          <w:szCs w:val="24"/>
        </w:rPr>
        <w:t xml:space="preserve"> </w:t>
      </w:r>
      <w:r w:rsidR="0000691A" w:rsidRPr="00CC449F">
        <w:rPr>
          <w:b/>
          <w:i/>
          <w:szCs w:val="24"/>
        </w:rPr>
        <w:t>Advances – Rs 54,868,870</w:t>
      </w:r>
    </w:p>
    <w:p w:rsidR="00CC449F" w:rsidRDefault="00CC449F" w:rsidP="002B1576">
      <w:pPr>
        <w:jc w:val="both"/>
        <w:rPr>
          <w:szCs w:val="24"/>
        </w:rPr>
      </w:pPr>
    </w:p>
    <w:p w:rsidR="0000691A" w:rsidRDefault="0000691A" w:rsidP="002B1576">
      <w:pPr>
        <w:jc w:val="both"/>
        <w:rPr>
          <w:szCs w:val="24"/>
        </w:rPr>
      </w:pPr>
      <w:r w:rsidRPr="00344129">
        <w:rPr>
          <w:szCs w:val="24"/>
        </w:rPr>
        <w:t xml:space="preserve">This </w:t>
      </w:r>
      <w:r>
        <w:rPr>
          <w:szCs w:val="24"/>
        </w:rPr>
        <w:t>amount</w:t>
      </w:r>
      <w:r w:rsidRPr="00344129">
        <w:rPr>
          <w:szCs w:val="24"/>
        </w:rPr>
        <w:t xml:space="preserve"> represents </w:t>
      </w:r>
      <w:r>
        <w:rPr>
          <w:szCs w:val="24"/>
        </w:rPr>
        <w:t xml:space="preserve">total advances </w:t>
      </w:r>
      <w:r w:rsidRPr="00344129">
        <w:rPr>
          <w:szCs w:val="24"/>
        </w:rPr>
        <w:t>outstanding on motor-car</w:t>
      </w:r>
      <w:r>
        <w:rPr>
          <w:szCs w:val="24"/>
        </w:rPr>
        <w:t>,</w:t>
      </w:r>
      <w:r w:rsidRPr="00344129">
        <w:rPr>
          <w:szCs w:val="24"/>
        </w:rPr>
        <w:t xml:space="preserve"> motor-cycle </w:t>
      </w:r>
      <w:r>
        <w:rPr>
          <w:szCs w:val="24"/>
        </w:rPr>
        <w:t xml:space="preserve">and other loans </w:t>
      </w:r>
      <w:r w:rsidRPr="00344129">
        <w:rPr>
          <w:szCs w:val="24"/>
        </w:rPr>
        <w:t>as of 31</w:t>
      </w:r>
      <w:r>
        <w:rPr>
          <w:szCs w:val="24"/>
        </w:rPr>
        <w:t> </w:t>
      </w:r>
      <w:r w:rsidRPr="00344129">
        <w:rPr>
          <w:szCs w:val="24"/>
        </w:rPr>
        <w:t>December 2013</w:t>
      </w:r>
      <w:r w:rsidR="00AE0DDA">
        <w:rPr>
          <w:szCs w:val="24"/>
        </w:rPr>
        <w:t>, as detailed in the Table 2.</w:t>
      </w:r>
    </w:p>
    <w:p w:rsidR="0000691A" w:rsidRDefault="0000691A" w:rsidP="002B1576">
      <w:pPr>
        <w:jc w:val="both"/>
        <w:rPr>
          <w:szCs w:val="24"/>
        </w:rPr>
      </w:pPr>
      <w:r>
        <w:rPr>
          <w:szCs w:val="24"/>
        </w:rPr>
        <w:br w:type="page"/>
      </w:r>
    </w:p>
    <w:p w:rsidR="0000691A" w:rsidRDefault="00AE0DDA" w:rsidP="002B1576">
      <w:pPr>
        <w:jc w:val="center"/>
        <w:rPr>
          <w:i/>
          <w:szCs w:val="24"/>
        </w:rPr>
      </w:pPr>
      <w:r>
        <w:rPr>
          <w:i/>
          <w:szCs w:val="24"/>
        </w:rPr>
        <w:lastRenderedPageBreak/>
        <w:t xml:space="preserve">Table 2  </w:t>
      </w:r>
      <w:r w:rsidR="0000691A" w:rsidRPr="00322191">
        <w:rPr>
          <w:i/>
          <w:szCs w:val="24"/>
        </w:rPr>
        <w:t>Advances as of 31 December 2013</w:t>
      </w:r>
    </w:p>
    <w:p w:rsidR="00621FE7" w:rsidRDefault="00621FE7" w:rsidP="002B1576">
      <w:pPr>
        <w:jc w:val="center"/>
        <w:rPr>
          <w:i/>
          <w:szCs w:val="24"/>
        </w:rPr>
      </w:pPr>
    </w:p>
    <w:p w:rsidR="00621FE7" w:rsidRPr="00322191" w:rsidRDefault="00621FE7" w:rsidP="002B1576">
      <w:pPr>
        <w:pBdr>
          <w:top w:val="single" w:sz="4" w:space="1" w:color="auto"/>
        </w:pBdr>
        <w:jc w:val="center"/>
        <w:rPr>
          <w:i/>
          <w:szCs w:val="24"/>
        </w:rPr>
      </w:pPr>
    </w:p>
    <w:tbl>
      <w:tblPr>
        <w:tblW w:w="8607" w:type="dxa"/>
        <w:jc w:val="center"/>
        <w:tblLook w:val="04A0"/>
      </w:tblPr>
      <w:tblGrid>
        <w:gridCol w:w="5789"/>
        <w:gridCol w:w="1350"/>
        <w:gridCol w:w="1468"/>
      </w:tblGrid>
      <w:tr w:rsidR="0000691A" w:rsidRPr="00344129" w:rsidTr="00621FE7">
        <w:trPr>
          <w:trHeight w:val="675"/>
          <w:jc w:val="center"/>
        </w:trPr>
        <w:tc>
          <w:tcPr>
            <w:tcW w:w="5789" w:type="dxa"/>
          </w:tcPr>
          <w:p w:rsidR="0000691A" w:rsidRPr="00344129" w:rsidRDefault="0000691A" w:rsidP="002B1576">
            <w:pPr>
              <w:jc w:val="both"/>
              <w:rPr>
                <w:b/>
                <w:szCs w:val="24"/>
              </w:rPr>
            </w:pPr>
            <w:r w:rsidRPr="00344129">
              <w:rPr>
                <w:b/>
                <w:szCs w:val="24"/>
              </w:rPr>
              <w:t>Details</w:t>
            </w:r>
          </w:p>
        </w:tc>
        <w:tc>
          <w:tcPr>
            <w:tcW w:w="1350" w:type="dxa"/>
          </w:tcPr>
          <w:p w:rsidR="0000691A" w:rsidRDefault="0000691A" w:rsidP="002B1576">
            <w:pPr>
              <w:jc w:val="center"/>
              <w:rPr>
                <w:b/>
                <w:szCs w:val="24"/>
              </w:rPr>
            </w:pPr>
            <w:r w:rsidRPr="00344129">
              <w:rPr>
                <w:b/>
                <w:szCs w:val="24"/>
              </w:rPr>
              <w:t>2013</w:t>
            </w:r>
          </w:p>
          <w:p w:rsidR="0000691A" w:rsidRPr="00344129" w:rsidRDefault="0000691A" w:rsidP="002B1576">
            <w:pPr>
              <w:jc w:val="center"/>
              <w:rPr>
                <w:b/>
                <w:szCs w:val="24"/>
              </w:rPr>
            </w:pPr>
            <w:r w:rsidRPr="00344129">
              <w:rPr>
                <w:b/>
                <w:szCs w:val="24"/>
              </w:rPr>
              <w:t>Rs</w:t>
            </w:r>
          </w:p>
        </w:tc>
        <w:tc>
          <w:tcPr>
            <w:tcW w:w="1468" w:type="dxa"/>
          </w:tcPr>
          <w:p w:rsidR="0000691A" w:rsidRPr="00344129" w:rsidRDefault="0000691A" w:rsidP="002B1576">
            <w:pPr>
              <w:jc w:val="center"/>
              <w:rPr>
                <w:b/>
                <w:szCs w:val="24"/>
              </w:rPr>
            </w:pPr>
            <w:r w:rsidRPr="00344129">
              <w:rPr>
                <w:b/>
                <w:szCs w:val="24"/>
              </w:rPr>
              <w:t>2012</w:t>
            </w:r>
          </w:p>
          <w:p w:rsidR="0000691A" w:rsidRPr="00344129" w:rsidRDefault="0000691A" w:rsidP="002B1576">
            <w:pPr>
              <w:jc w:val="center"/>
              <w:rPr>
                <w:b/>
                <w:szCs w:val="24"/>
              </w:rPr>
            </w:pPr>
            <w:r w:rsidRPr="00344129">
              <w:rPr>
                <w:b/>
                <w:szCs w:val="24"/>
              </w:rPr>
              <w:t>Rs</w:t>
            </w:r>
          </w:p>
        </w:tc>
      </w:tr>
      <w:tr w:rsidR="0000691A" w:rsidRPr="00344129" w:rsidTr="00621FE7">
        <w:trPr>
          <w:trHeight w:val="432"/>
          <w:jc w:val="center"/>
        </w:trPr>
        <w:tc>
          <w:tcPr>
            <w:tcW w:w="5789" w:type="dxa"/>
          </w:tcPr>
          <w:p w:rsidR="0000691A" w:rsidRPr="00344129" w:rsidRDefault="0000691A" w:rsidP="002B1576">
            <w:pPr>
              <w:jc w:val="both"/>
              <w:rPr>
                <w:szCs w:val="24"/>
              </w:rPr>
            </w:pPr>
            <w:r w:rsidRPr="00344129">
              <w:rPr>
                <w:szCs w:val="24"/>
              </w:rPr>
              <w:t xml:space="preserve">Advances to Members of the Regional Assembly </w:t>
            </w:r>
          </w:p>
        </w:tc>
        <w:tc>
          <w:tcPr>
            <w:tcW w:w="1350" w:type="dxa"/>
          </w:tcPr>
          <w:p w:rsidR="0000691A" w:rsidRPr="00344129" w:rsidRDefault="0000691A" w:rsidP="002B1576">
            <w:pPr>
              <w:spacing w:after="120"/>
              <w:jc w:val="right"/>
              <w:rPr>
                <w:szCs w:val="24"/>
              </w:rPr>
            </w:pPr>
            <w:r w:rsidRPr="00ED62D8">
              <w:rPr>
                <w:szCs w:val="24"/>
              </w:rPr>
              <w:t>4,82</w:t>
            </w:r>
            <w:r w:rsidRPr="00344129">
              <w:rPr>
                <w:szCs w:val="24"/>
              </w:rPr>
              <w:t>7,800</w:t>
            </w:r>
          </w:p>
        </w:tc>
        <w:tc>
          <w:tcPr>
            <w:tcW w:w="1468" w:type="dxa"/>
          </w:tcPr>
          <w:p w:rsidR="0000691A" w:rsidRPr="00344129" w:rsidRDefault="0000691A" w:rsidP="002B1576">
            <w:pPr>
              <w:spacing w:after="120"/>
              <w:jc w:val="right"/>
              <w:rPr>
                <w:szCs w:val="24"/>
              </w:rPr>
            </w:pPr>
            <w:r w:rsidRPr="00344129">
              <w:rPr>
                <w:szCs w:val="24"/>
              </w:rPr>
              <w:t>2,396,246</w:t>
            </w:r>
          </w:p>
        </w:tc>
      </w:tr>
      <w:tr w:rsidR="0000691A" w:rsidRPr="00344129" w:rsidTr="00621FE7">
        <w:trPr>
          <w:trHeight w:val="432"/>
          <w:jc w:val="center"/>
        </w:trPr>
        <w:tc>
          <w:tcPr>
            <w:tcW w:w="5789" w:type="dxa"/>
          </w:tcPr>
          <w:p w:rsidR="0000691A" w:rsidRPr="00344129" w:rsidRDefault="0000691A" w:rsidP="002B1576">
            <w:pPr>
              <w:spacing w:after="120"/>
              <w:jc w:val="both"/>
              <w:rPr>
                <w:szCs w:val="24"/>
              </w:rPr>
            </w:pPr>
            <w:r w:rsidRPr="00344129">
              <w:rPr>
                <w:szCs w:val="24"/>
              </w:rPr>
              <w:t>Motorcar loan to RRA Officers</w:t>
            </w:r>
          </w:p>
        </w:tc>
        <w:tc>
          <w:tcPr>
            <w:tcW w:w="1350" w:type="dxa"/>
          </w:tcPr>
          <w:p w:rsidR="0000691A" w:rsidRPr="00344129" w:rsidRDefault="0000691A" w:rsidP="002B1576">
            <w:pPr>
              <w:spacing w:after="120"/>
              <w:jc w:val="right"/>
              <w:rPr>
                <w:szCs w:val="24"/>
              </w:rPr>
            </w:pPr>
            <w:r w:rsidRPr="00344129">
              <w:rPr>
                <w:szCs w:val="24"/>
              </w:rPr>
              <w:t>21,631,781</w:t>
            </w:r>
          </w:p>
        </w:tc>
        <w:tc>
          <w:tcPr>
            <w:tcW w:w="1468" w:type="dxa"/>
          </w:tcPr>
          <w:p w:rsidR="0000691A" w:rsidRPr="00344129" w:rsidRDefault="0000691A" w:rsidP="002B1576">
            <w:pPr>
              <w:spacing w:after="120"/>
              <w:jc w:val="right"/>
              <w:rPr>
                <w:szCs w:val="24"/>
              </w:rPr>
            </w:pPr>
            <w:r w:rsidRPr="00344129">
              <w:rPr>
                <w:szCs w:val="24"/>
              </w:rPr>
              <w:t>11,163,684</w:t>
            </w:r>
          </w:p>
        </w:tc>
      </w:tr>
      <w:tr w:rsidR="0000691A" w:rsidRPr="00344129" w:rsidTr="00621FE7">
        <w:trPr>
          <w:trHeight w:val="432"/>
          <w:jc w:val="center"/>
        </w:trPr>
        <w:tc>
          <w:tcPr>
            <w:tcW w:w="5789" w:type="dxa"/>
          </w:tcPr>
          <w:p w:rsidR="0000691A" w:rsidRPr="00344129" w:rsidRDefault="0000691A" w:rsidP="002B1576">
            <w:pPr>
              <w:spacing w:after="120"/>
              <w:jc w:val="both"/>
              <w:rPr>
                <w:szCs w:val="24"/>
              </w:rPr>
            </w:pPr>
            <w:r w:rsidRPr="00344129">
              <w:rPr>
                <w:szCs w:val="24"/>
              </w:rPr>
              <w:t>Motorcycle loan to RRA Officers</w:t>
            </w:r>
          </w:p>
        </w:tc>
        <w:tc>
          <w:tcPr>
            <w:tcW w:w="1350" w:type="dxa"/>
          </w:tcPr>
          <w:p w:rsidR="0000691A" w:rsidRPr="00344129" w:rsidRDefault="0000691A" w:rsidP="002B1576">
            <w:pPr>
              <w:spacing w:after="120"/>
              <w:jc w:val="right"/>
              <w:rPr>
                <w:szCs w:val="24"/>
              </w:rPr>
            </w:pPr>
            <w:r w:rsidRPr="00344129">
              <w:rPr>
                <w:szCs w:val="24"/>
              </w:rPr>
              <w:t>10,851,519</w:t>
            </w:r>
          </w:p>
        </w:tc>
        <w:tc>
          <w:tcPr>
            <w:tcW w:w="1468" w:type="dxa"/>
          </w:tcPr>
          <w:p w:rsidR="0000691A" w:rsidRPr="00344129" w:rsidRDefault="0000691A" w:rsidP="002B1576">
            <w:pPr>
              <w:spacing w:after="120"/>
              <w:jc w:val="right"/>
              <w:rPr>
                <w:szCs w:val="24"/>
              </w:rPr>
            </w:pPr>
            <w:r w:rsidRPr="00344129">
              <w:rPr>
                <w:szCs w:val="24"/>
              </w:rPr>
              <w:t>6,624,799</w:t>
            </w:r>
          </w:p>
        </w:tc>
      </w:tr>
      <w:tr w:rsidR="0000691A" w:rsidRPr="00344129" w:rsidTr="00621FE7">
        <w:trPr>
          <w:trHeight w:val="432"/>
          <w:jc w:val="center"/>
        </w:trPr>
        <w:tc>
          <w:tcPr>
            <w:tcW w:w="5789" w:type="dxa"/>
          </w:tcPr>
          <w:p w:rsidR="0000691A" w:rsidRPr="00344129" w:rsidRDefault="0000691A" w:rsidP="002B1576">
            <w:pPr>
              <w:spacing w:after="120"/>
              <w:jc w:val="both"/>
              <w:rPr>
                <w:szCs w:val="24"/>
              </w:rPr>
            </w:pPr>
            <w:r w:rsidRPr="00344129">
              <w:rPr>
                <w:szCs w:val="24"/>
              </w:rPr>
              <w:t xml:space="preserve">Advances – Cooperative Societies </w:t>
            </w:r>
            <w:proofErr w:type="spellStart"/>
            <w:r w:rsidRPr="00344129">
              <w:rPr>
                <w:szCs w:val="24"/>
              </w:rPr>
              <w:t>i.r.o</w:t>
            </w:r>
            <w:proofErr w:type="spellEnd"/>
            <w:r w:rsidRPr="00344129">
              <w:rPr>
                <w:szCs w:val="24"/>
              </w:rPr>
              <w:t xml:space="preserve">. Fibre </w:t>
            </w:r>
            <w:r>
              <w:rPr>
                <w:szCs w:val="24"/>
              </w:rPr>
              <w:t>G</w:t>
            </w:r>
            <w:r w:rsidRPr="00344129">
              <w:rPr>
                <w:szCs w:val="24"/>
              </w:rPr>
              <w:t>lass Boats</w:t>
            </w:r>
          </w:p>
        </w:tc>
        <w:tc>
          <w:tcPr>
            <w:tcW w:w="1350" w:type="dxa"/>
          </w:tcPr>
          <w:p w:rsidR="0000691A" w:rsidRPr="00344129" w:rsidRDefault="0000691A" w:rsidP="002B1576">
            <w:pPr>
              <w:spacing w:after="120"/>
              <w:jc w:val="right"/>
              <w:rPr>
                <w:szCs w:val="24"/>
              </w:rPr>
            </w:pPr>
            <w:r w:rsidRPr="00344129">
              <w:rPr>
                <w:szCs w:val="24"/>
              </w:rPr>
              <w:t>14,847,000</w:t>
            </w:r>
          </w:p>
        </w:tc>
        <w:tc>
          <w:tcPr>
            <w:tcW w:w="1468" w:type="dxa"/>
          </w:tcPr>
          <w:p w:rsidR="0000691A" w:rsidRPr="00344129" w:rsidRDefault="0000691A" w:rsidP="002B1576">
            <w:pPr>
              <w:spacing w:after="120"/>
              <w:jc w:val="right"/>
              <w:rPr>
                <w:szCs w:val="24"/>
              </w:rPr>
            </w:pPr>
            <w:r w:rsidRPr="00344129">
              <w:rPr>
                <w:szCs w:val="24"/>
              </w:rPr>
              <w:t>14,827,913</w:t>
            </w:r>
          </w:p>
        </w:tc>
      </w:tr>
      <w:tr w:rsidR="0000691A" w:rsidRPr="00344129" w:rsidTr="00621FE7">
        <w:trPr>
          <w:trHeight w:val="432"/>
          <w:jc w:val="center"/>
        </w:trPr>
        <w:tc>
          <w:tcPr>
            <w:tcW w:w="5789" w:type="dxa"/>
          </w:tcPr>
          <w:p w:rsidR="0000691A" w:rsidRPr="00344129" w:rsidRDefault="0000691A" w:rsidP="002B1576">
            <w:pPr>
              <w:spacing w:after="120"/>
              <w:jc w:val="both"/>
              <w:rPr>
                <w:szCs w:val="24"/>
              </w:rPr>
            </w:pPr>
            <w:r w:rsidRPr="00344129">
              <w:rPr>
                <w:szCs w:val="24"/>
              </w:rPr>
              <w:t>Advance Account – Personal</w:t>
            </w:r>
          </w:p>
        </w:tc>
        <w:tc>
          <w:tcPr>
            <w:tcW w:w="1350" w:type="dxa"/>
          </w:tcPr>
          <w:p w:rsidR="0000691A" w:rsidRPr="00344129" w:rsidRDefault="0000691A" w:rsidP="002B1576">
            <w:pPr>
              <w:spacing w:after="120"/>
              <w:jc w:val="right"/>
              <w:rPr>
                <w:szCs w:val="24"/>
              </w:rPr>
            </w:pPr>
            <w:r w:rsidRPr="00344129">
              <w:rPr>
                <w:szCs w:val="24"/>
              </w:rPr>
              <w:t>88,800</w:t>
            </w:r>
          </w:p>
        </w:tc>
        <w:tc>
          <w:tcPr>
            <w:tcW w:w="1468" w:type="dxa"/>
          </w:tcPr>
          <w:p w:rsidR="0000691A" w:rsidRPr="00344129" w:rsidRDefault="0000691A" w:rsidP="002B1576">
            <w:pPr>
              <w:spacing w:after="120"/>
              <w:jc w:val="right"/>
              <w:rPr>
                <w:szCs w:val="24"/>
              </w:rPr>
            </w:pPr>
            <w:r w:rsidRPr="00344129">
              <w:rPr>
                <w:szCs w:val="24"/>
              </w:rPr>
              <w:t>88,800</w:t>
            </w:r>
          </w:p>
        </w:tc>
      </w:tr>
      <w:tr w:rsidR="0000691A" w:rsidRPr="00344129" w:rsidTr="00621FE7">
        <w:trPr>
          <w:trHeight w:val="432"/>
          <w:jc w:val="center"/>
        </w:trPr>
        <w:tc>
          <w:tcPr>
            <w:tcW w:w="5789" w:type="dxa"/>
          </w:tcPr>
          <w:p w:rsidR="0000691A" w:rsidRPr="00950F12" w:rsidRDefault="0000691A" w:rsidP="002B1576">
            <w:pPr>
              <w:spacing w:after="120"/>
              <w:jc w:val="both"/>
              <w:rPr>
                <w:color w:val="000000"/>
                <w:szCs w:val="24"/>
              </w:rPr>
            </w:pPr>
            <w:r w:rsidRPr="00344129">
              <w:rPr>
                <w:color w:val="000000"/>
                <w:szCs w:val="24"/>
              </w:rPr>
              <w:t>Advance RTMC</w:t>
            </w:r>
          </w:p>
        </w:tc>
        <w:tc>
          <w:tcPr>
            <w:tcW w:w="1350" w:type="dxa"/>
          </w:tcPr>
          <w:p w:rsidR="0000691A" w:rsidRPr="00950F12" w:rsidRDefault="0000691A" w:rsidP="002B1576">
            <w:pPr>
              <w:spacing w:after="120"/>
              <w:jc w:val="right"/>
              <w:rPr>
                <w:color w:val="000000"/>
                <w:szCs w:val="24"/>
              </w:rPr>
            </w:pPr>
            <w:r w:rsidRPr="00344129">
              <w:rPr>
                <w:color w:val="000000"/>
                <w:szCs w:val="24"/>
              </w:rPr>
              <w:t>2,621,970</w:t>
            </w:r>
          </w:p>
        </w:tc>
        <w:tc>
          <w:tcPr>
            <w:tcW w:w="1468" w:type="dxa"/>
          </w:tcPr>
          <w:p w:rsidR="0000691A" w:rsidRPr="00344129" w:rsidRDefault="0000691A" w:rsidP="002B1576">
            <w:pPr>
              <w:spacing w:after="120"/>
              <w:jc w:val="right"/>
              <w:rPr>
                <w:szCs w:val="24"/>
              </w:rPr>
            </w:pPr>
            <w:r>
              <w:rPr>
                <w:szCs w:val="24"/>
              </w:rPr>
              <w:t>-</w:t>
            </w:r>
          </w:p>
        </w:tc>
      </w:tr>
      <w:tr w:rsidR="0000691A" w:rsidRPr="00344129" w:rsidTr="00621FE7">
        <w:trPr>
          <w:trHeight w:val="432"/>
          <w:jc w:val="center"/>
        </w:trPr>
        <w:tc>
          <w:tcPr>
            <w:tcW w:w="5789" w:type="dxa"/>
          </w:tcPr>
          <w:p w:rsidR="0000691A" w:rsidRPr="00344129" w:rsidRDefault="0000691A" w:rsidP="002B1576">
            <w:pPr>
              <w:spacing w:after="120"/>
              <w:jc w:val="both"/>
              <w:rPr>
                <w:b/>
                <w:szCs w:val="24"/>
              </w:rPr>
            </w:pPr>
            <w:r w:rsidRPr="00344129">
              <w:rPr>
                <w:b/>
                <w:szCs w:val="24"/>
              </w:rPr>
              <w:t>Total</w:t>
            </w:r>
          </w:p>
        </w:tc>
        <w:tc>
          <w:tcPr>
            <w:tcW w:w="1350" w:type="dxa"/>
          </w:tcPr>
          <w:p w:rsidR="0000691A" w:rsidRPr="00344129" w:rsidRDefault="0000691A" w:rsidP="002B1576">
            <w:pPr>
              <w:spacing w:after="120"/>
              <w:jc w:val="right"/>
              <w:rPr>
                <w:b/>
                <w:szCs w:val="24"/>
              </w:rPr>
            </w:pPr>
            <w:r w:rsidRPr="00344129">
              <w:rPr>
                <w:b/>
                <w:szCs w:val="24"/>
              </w:rPr>
              <w:t>54,868,870</w:t>
            </w:r>
          </w:p>
        </w:tc>
        <w:tc>
          <w:tcPr>
            <w:tcW w:w="1468" w:type="dxa"/>
          </w:tcPr>
          <w:p w:rsidR="0000691A" w:rsidRPr="00344129" w:rsidRDefault="0000691A" w:rsidP="002B1576">
            <w:pPr>
              <w:spacing w:after="120"/>
              <w:jc w:val="right"/>
              <w:rPr>
                <w:b/>
                <w:szCs w:val="24"/>
              </w:rPr>
            </w:pPr>
            <w:r w:rsidRPr="00344129">
              <w:rPr>
                <w:b/>
                <w:szCs w:val="24"/>
              </w:rPr>
              <w:t>35,101,442</w:t>
            </w:r>
          </w:p>
        </w:tc>
      </w:tr>
    </w:tbl>
    <w:p w:rsidR="0000691A" w:rsidRDefault="0000691A" w:rsidP="002B1576">
      <w:pPr>
        <w:pBdr>
          <w:bottom w:val="single" w:sz="4" w:space="1" w:color="auto"/>
        </w:pBdr>
        <w:jc w:val="both"/>
        <w:rPr>
          <w:b/>
          <w:szCs w:val="24"/>
        </w:rPr>
      </w:pPr>
    </w:p>
    <w:p w:rsidR="00621FE7" w:rsidRDefault="00621FE7" w:rsidP="002B1576">
      <w:pPr>
        <w:spacing w:after="200"/>
        <w:ind w:left="450"/>
        <w:jc w:val="both"/>
        <w:rPr>
          <w:i/>
          <w:szCs w:val="24"/>
        </w:rPr>
      </w:pPr>
    </w:p>
    <w:p w:rsidR="0000691A" w:rsidRPr="00CC449F" w:rsidRDefault="0000691A" w:rsidP="002B1576">
      <w:pPr>
        <w:spacing w:after="200"/>
        <w:jc w:val="both"/>
        <w:rPr>
          <w:i/>
          <w:szCs w:val="24"/>
        </w:rPr>
      </w:pPr>
      <w:r w:rsidRPr="00CC449F">
        <w:rPr>
          <w:i/>
          <w:szCs w:val="24"/>
        </w:rPr>
        <w:t>Advances to Members of the Regional Assembly – Rs 4,827,800</w:t>
      </w:r>
    </w:p>
    <w:p w:rsidR="0000691A" w:rsidRDefault="0000691A" w:rsidP="002B1576">
      <w:pPr>
        <w:jc w:val="both"/>
        <w:rPr>
          <w:szCs w:val="24"/>
        </w:rPr>
      </w:pPr>
      <w:r w:rsidRPr="00344129">
        <w:rPr>
          <w:szCs w:val="24"/>
        </w:rPr>
        <w:t xml:space="preserve">In September 2011, an amount of Rs 1.6 million was advanced to a </w:t>
      </w:r>
      <w:r>
        <w:rPr>
          <w:szCs w:val="24"/>
        </w:rPr>
        <w:t>m</w:t>
      </w:r>
      <w:r w:rsidRPr="00344129">
        <w:rPr>
          <w:szCs w:val="24"/>
        </w:rPr>
        <w:t xml:space="preserve">ember </w:t>
      </w:r>
      <w:r>
        <w:rPr>
          <w:szCs w:val="24"/>
        </w:rPr>
        <w:t xml:space="preserve">of the Regional Assembly </w:t>
      </w:r>
      <w:r w:rsidRPr="00344129">
        <w:rPr>
          <w:szCs w:val="24"/>
        </w:rPr>
        <w:t xml:space="preserve">who ceased to be a </w:t>
      </w:r>
      <w:r>
        <w:rPr>
          <w:szCs w:val="24"/>
        </w:rPr>
        <w:t>m</w:t>
      </w:r>
      <w:r w:rsidRPr="00344129">
        <w:rPr>
          <w:szCs w:val="24"/>
        </w:rPr>
        <w:t>ember with effect from</w:t>
      </w:r>
      <w:r>
        <w:rPr>
          <w:szCs w:val="24"/>
        </w:rPr>
        <w:t xml:space="preserve"> 6 February 2012. </w:t>
      </w:r>
      <w:r w:rsidRPr="00344129">
        <w:rPr>
          <w:szCs w:val="24"/>
        </w:rPr>
        <w:t xml:space="preserve"> </w:t>
      </w:r>
      <w:r>
        <w:rPr>
          <w:szCs w:val="24"/>
        </w:rPr>
        <w:t xml:space="preserve">The </w:t>
      </w:r>
      <w:r w:rsidRPr="00344129">
        <w:rPr>
          <w:szCs w:val="24"/>
        </w:rPr>
        <w:t xml:space="preserve">outstanding capital </w:t>
      </w:r>
      <w:r>
        <w:rPr>
          <w:szCs w:val="24"/>
        </w:rPr>
        <w:t xml:space="preserve">and </w:t>
      </w:r>
      <w:r w:rsidRPr="00344129">
        <w:rPr>
          <w:szCs w:val="24"/>
        </w:rPr>
        <w:t xml:space="preserve">interest </w:t>
      </w:r>
      <w:r>
        <w:rPr>
          <w:szCs w:val="24"/>
        </w:rPr>
        <w:t xml:space="preserve">accrued thereon amounted to </w:t>
      </w:r>
      <w:r w:rsidRPr="00344129">
        <w:rPr>
          <w:szCs w:val="24"/>
        </w:rPr>
        <w:t xml:space="preserve">Rs 1,493,333. </w:t>
      </w:r>
      <w:r>
        <w:rPr>
          <w:szCs w:val="24"/>
        </w:rPr>
        <w:t xml:space="preserve">Legal action was initiated for the non-payment of the advance and </w:t>
      </w:r>
      <w:r w:rsidRPr="00344129">
        <w:rPr>
          <w:szCs w:val="24"/>
        </w:rPr>
        <w:t>the vehicle was seized</w:t>
      </w:r>
      <w:r>
        <w:rPr>
          <w:szCs w:val="24"/>
        </w:rPr>
        <w:t>. It</w:t>
      </w:r>
      <w:r w:rsidRPr="00344129">
        <w:rPr>
          <w:szCs w:val="24"/>
        </w:rPr>
        <w:t xml:space="preserve"> was found damaged and </w:t>
      </w:r>
      <w:r>
        <w:rPr>
          <w:szCs w:val="24"/>
        </w:rPr>
        <w:t>was</w:t>
      </w:r>
      <w:r w:rsidRPr="00344129">
        <w:rPr>
          <w:szCs w:val="24"/>
        </w:rPr>
        <w:t xml:space="preserve"> sent to Mauritius for repairs </w:t>
      </w:r>
      <w:r>
        <w:rPr>
          <w:szCs w:val="24"/>
        </w:rPr>
        <w:t>at a</w:t>
      </w:r>
      <w:r w:rsidRPr="00344129">
        <w:rPr>
          <w:szCs w:val="24"/>
        </w:rPr>
        <w:t xml:space="preserve"> cost of Rs</w:t>
      </w:r>
      <w:r>
        <w:rPr>
          <w:szCs w:val="24"/>
        </w:rPr>
        <w:t xml:space="preserve"> </w:t>
      </w:r>
      <w:r w:rsidRPr="00344129">
        <w:rPr>
          <w:szCs w:val="24"/>
        </w:rPr>
        <w:t>102,989</w:t>
      </w:r>
      <w:r w:rsidR="00366561">
        <w:rPr>
          <w:szCs w:val="24"/>
        </w:rPr>
        <w:t>,</w:t>
      </w:r>
      <w:r>
        <w:rPr>
          <w:szCs w:val="24"/>
        </w:rPr>
        <w:t xml:space="preserve"> which </w:t>
      </w:r>
      <w:r w:rsidRPr="00344129">
        <w:rPr>
          <w:szCs w:val="24"/>
        </w:rPr>
        <w:t xml:space="preserve">was </w:t>
      </w:r>
      <w:r>
        <w:rPr>
          <w:szCs w:val="24"/>
        </w:rPr>
        <w:t xml:space="preserve">later </w:t>
      </w:r>
      <w:r w:rsidRPr="00344129">
        <w:rPr>
          <w:szCs w:val="24"/>
        </w:rPr>
        <w:t xml:space="preserve">brought down to </w:t>
      </w:r>
      <w:r w:rsidR="00366561">
        <w:rPr>
          <w:szCs w:val="24"/>
        </w:rPr>
        <w:br/>
      </w:r>
      <w:r w:rsidRPr="00344129">
        <w:rPr>
          <w:szCs w:val="24"/>
        </w:rPr>
        <w:t>Rs</w:t>
      </w:r>
      <w:r>
        <w:rPr>
          <w:szCs w:val="24"/>
        </w:rPr>
        <w:t xml:space="preserve"> </w:t>
      </w:r>
      <w:r w:rsidRPr="00344129">
        <w:rPr>
          <w:szCs w:val="24"/>
        </w:rPr>
        <w:t>25,028.</w:t>
      </w:r>
      <w:r>
        <w:rPr>
          <w:szCs w:val="24"/>
        </w:rPr>
        <w:t xml:space="preserve"> I</w:t>
      </w:r>
      <w:r w:rsidRPr="00344129">
        <w:rPr>
          <w:szCs w:val="24"/>
        </w:rPr>
        <w:t>n November 2012</w:t>
      </w:r>
      <w:r>
        <w:rPr>
          <w:szCs w:val="24"/>
        </w:rPr>
        <w:t>,</w:t>
      </w:r>
      <w:r w:rsidRPr="00344129">
        <w:rPr>
          <w:szCs w:val="24"/>
        </w:rPr>
        <w:t xml:space="preserve"> </w:t>
      </w:r>
      <w:r>
        <w:rPr>
          <w:szCs w:val="24"/>
        </w:rPr>
        <w:t xml:space="preserve">the vehicle was auctioned at a bid of </w:t>
      </w:r>
      <w:r w:rsidRPr="00344129">
        <w:rPr>
          <w:szCs w:val="24"/>
        </w:rPr>
        <w:t>Rs 1.5 million. After deduction of customs duty and other costs associated with the sale totalling Rs 667,243, the net proceeds of Rs 832,757 were remitted to RRA.</w:t>
      </w:r>
      <w:r>
        <w:rPr>
          <w:szCs w:val="24"/>
        </w:rPr>
        <w:t xml:space="preserve"> An outstanding</w:t>
      </w:r>
      <w:r w:rsidRPr="00344129">
        <w:rPr>
          <w:szCs w:val="24"/>
        </w:rPr>
        <w:t xml:space="preserve"> balance </w:t>
      </w:r>
      <w:r w:rsidRPr="00107285">
        <w:rPr>
          <w:szCs w:val="24"/>
        </w:rPr>
        <w:t>of Rs 743,976 has</w:t>
      </w:r>
      <w:r>
        <w:rPr>
          <w:szCs w:val="24"/>
        </w:rPr>
        <w:t xml:space="preserve"> </w:t>
      </w:r>
      <w:r w:rsidRPr="00344129">
        <w:rPr>
          <w:szCs w:val="24"/>
        </w:rPr>
        <w:t>still to be recovered.</w:t>
      </w:r>
      <w:r>
        <w:rPr>
          <w:szCs w:val="24"/>
        </w:rPr>
        <w:t xml:space="preserve"> In</w:t>
      </w:r>
      <w:r w:rsidRPr="00344129">
        <w:rPr>
          <w:szCs w:val="24"/>
        </w:rPr>
        <w:t xml:space="preserve"> April 2013, the </w:t>
      </w:r>
      <w:r>
        <w:rPr>
          <w:szCs w:val="24"/>
        </w:rPr>
        <w:t>A</w:t>
      </w:r>
      <w:r w:rsidRPr="00344129">
        <w:rPr>
          <w:szCs w:val="24"/>
        </w:rPr>
        <w:t xml:space="preserve">ttorney of the RRA was requested to initiate legal action </w:t>
      </w:r>
      <w:r>
        <w:rPr>
          <w:szCs w:val="24"/>
        </w:rPr>
        <w:t xml:space="preserve">to </w:t>
      </w:r>
      <w:r w:rsidRPr="00344129">
        <w:rPr>
          <w:szCs w:val="24"/>
        </w:rPr>
        <w:t>recover</w:t>
      </w:r>
      <w:r>
        <w:rPr>
          <w:szCs w:val="24"/>
        </w:rPr>
        <w:t xml:space="preserve"> </w:t>
      </w:r>
      <w:r w:rsidRPr="00344129">
        <w:rPr>
          <w:szCs w:val="24"/>
        </w:rPr>
        <w:t>the outstanding amount</w:t>
      </w:r>
      <w:r>
        <w:rPr>
          <w:szCs w:val="24"/>
        </w:rPr>
        <w:t xml:space="preserve"> from the ex-member of the Regional Assembly</w:t>
      </w:r>
      <w:r w:rsidRPr="00344129">
        <w:rPr>
          <w:szCs w:val="24"/>
        </w:rPr>
        <w:t>.</w:t>
      </w:r>
    </w:p>
    <w:p w:rsidR="0000691A" w:rsidRPr="00344129" w:rsidRDefault="0000691A" w:rsidP="002B1576">
      <w:pPr>
        <w:jc w:val="both"/>
        <w:rPr>
          <w:szCs w:val="24"/>
        </w:rPr>
      </w:pPr>
    </w:p>
    <w:p w:rsidR="0000691A" w:rsidRDefault="0000691A" w:rsidP="002B1576">
      <w:pPr>
        <w:numPr>
          <w:ilvl w:val="0"/>
          <w:numId w:val="3"/>
        </w:numPr>
        <w:spacing w:after="200"/>
        <w:ind w:left="360"/>
        <w:jc w:val="both"/>
        <w:rPr>
          <w:szCs w:val="24"/>
        </w:rPr>
      </w:pPr>
      <w:r>
        <w:rPr>
          <w:szCs w:val="24"/>
        </w:rPr>
        <w:t>O</w:t>
      </w:r>
      <w:r w:rsidRPr="00344129">
        <w:rPr>
          <w:szCs w:val="24"/>
        </w:rPr>
        <w:t>n</w:t>
      </w:r>
      <w:r>
        <w:rPr>
          <w:szCs w:val="24"/>
        </w:rPr>
        <w:t xml:space="preserve"> </w:t>
      </w:r>
      <w:r w:rsidRPr="00107285">
        <w:rPr>
          <w:szCs w:val="24"/>
        </w:rPr>
        <w:t>20</w:t>
      </w:r>
      <w:r w:rsidRPr="00344129">
        <w:rPr>
          <w:szCs w:val="24"/>
        </w:rPr>
        <w:t xml:space="preserve"> September 2013, the </w:t>
      </w:r>
      <w:r>
        <w:rPr>
          <w:szCs w:val="24"/>
        </w:rPr>
        <w:t xml:space="preserve">Attorney of RRA </w:t>
      </w:r>
      <w:r w:rsidRPr="00344129">
        <w:rPr>
          <w:szCs w:val="24"/>
        </w:rPr>
        <w:t xml:space="preserve">informed the </w:t>
      </w:r>
      <w:r>
        <w:rPr>
          <w:szCs w:val="24"/>
        </w:rPr>
        <w:t xml:space="preserve">Acting </w:t>
      </w:r>
      <w:r w:rsidRPr="00344129">
        <w:rPr>
          <w:szCs w:val="24"/>
        </w:rPr>
        <w:t xml:space="preserve">Island Chief Executive that </w:t>
      </w:r>
      <w:r>
        <w:rPr>
          <w:szCs w:val="24"/>
        </w:rPr>
        <w:t xml:space="preserve">he had put in appearance </w:t>
      </w:r>
      <w:r w:rsidRPr="00344129">
        <w:rPr>
          <w:szCs w:val="24"/>
        </w:rPr>
        <w:t xml:space="preserve">in the </w:t>
      </w:r>
      <w:r>
        <w:rPr>
          <w:szCs w:val="24"/>
        </w:rPr>
        <w:t xml:space="preserve">Supreme Court on </w:t>
      </w:r>
      <w:r w:rsidRPr="00107285">
        <w:rPr>
          <w:szCs w:val="24"/>
        </w:rPr>
        <w:t>12</w:t>
      </w:r>
      <w:r>
        <w:rPr>
          <w:szCs w:val="24"/>
        </w:rPr>
        <w:t xml:space="preserve"> September 2013</w:t>
      </w:r>
      <w:r w:rsidRPr="00344129">
        <w:rPr>
          <w:szCs w:val="24"/>
        </w:rPr>
        <w:t>.</w:t>
      </w:r>
    </w:p>
    <w:p w:rsidR="0000691A" w:rsidRPr="00621FE7" w:rsidRDefault="0000691A" w:rsidP="002B1576">
      <w:pPr>
        <w:numPr>
          <w:ilvl w:val="0"/>
          <w:numId w:val="3"/>
        </w:numPr>
        <w:spacing w:after="200"/>
        <w:ind w:left="360"/>
        <w:jc w:val="both"/>
        <w:rPr>
          <w:i/>
          <w:szCs w:val="24"/>
        </w:rPr>
      </w:pPr>
      <w:r w:rsidRPr="00107285">
        <w:rPr>
          <w:szCs w:val="24"/>
        </w:rPr>
        <w:t>A</w:t>
      </w:r>
      <w:r>
        <w:rPr>
          <w:szCs w:val="24"/>
        </w:rPr>
        <w:t>s of</w:t>
      </w:r>
      <w:r w:rsidRPr="00107285">
        <w:rPr>
          <w:szCs w:val="24"/>
        </w:rPr>
        <w:t xml:space="preserve"> </w:t>
      </w:r>
      <w:r>
        <w:rPr>
          <w:szCs w:val="24"/>
        </w:rPr>
        <w:t xml:space="preserve">28 </w:t>
      </w:r>
      <w:r w:rsidRPr="00107285">
        <w:rPr>
          <w:szCs w:val="24"/>
        </w:rPr>
        <w:t xml:space="preserve">February 2014, the </w:t>
      </w:r>
      <w:r>
        <w:rPr>
          <w:szCs w:val="24"/>
        </w:rPr>
        <w:t>ex-</w:t>
      </w:r>
      <w:r w:rsidRPr="00107285">
        <w:rPr>
          <w:szCs w:val="24"/>
        </w:rPr>
        <w:t>member still ow</w:t>
      </w:r>
      <w:r>
        <w:rPr>
          <w:szCs w:val="24"/>
        </w:rPr>
        <w:t xml:space="preserve">ed </w:t>
      </w:r>
      <w:r w:rsidRPr="00107285">
        <w:rPr>
          <w:szCs w:val="24"/>
        </w:rPr>
        <w:t xml:space="preserve">an amount of Rs 829,376 </w:t>
      </w:r>
      <w:r>
        <w:rPr>
          <w:szCs w:val="24"/>
        </w:rPr>
        <w:t xml:space="preserve">that comprised outstanding capital amount of Rs 743,976 and accrued </w:t>
      </w:r>
      <w:r w:rsidRPr="00107285">
        <w:rPr>
          <w:szCs w:val="24"/>
        </w:rPr>
        <w:t xml:space="preserve">interest </w:t>
      </w:r>
      <w:r>
        <w:rPr>
          <w:szCs w:val="24"/>
        </w:rPr>
        <w:t xml:space="preserve">of </w:t>
      </w:r>
      <w:r w:rsidRPr="00107285">
        <w:rPr>
          <w:szCs w:val="24"/>
        </w:rPr>
        <w:t xml:space="preserve">Rs 85,400. </w:t>
      </w:r>
    </w:p>
    <w:p w:rsidR="0069208E" w:rsidRDefault="0069208E" w:rsidP="002B1576">
      <w:pPr>
        <w:jc w:val="both"/>
        <w:rPr>
          <w:b/>
          <w:i/>
          <w:szCs w:val="24"/>
        </w:rPr>
      </w:pPr>
    </w:p>
    <w:p w:rsidR="0069208E" w:rsidRPr="0069208E" w:rsidRDefault="0069208E" w:rsidP="002B1576">
      <w:pPr>
        <w:jc w:val="both"/>
        <w:rPr>
          <w:b/>
          <w:i/>
          <w:szCs w:val="24"/>
        </w:rPr>
      </w:pPr>
      <w:r w:rsidRPr="0069208E">
        <w:rPr>
          <w:b/>
          <w:i/>
          <w:szCs w:val="24"/>
        </w:rPr>
        <w:t>RRA’s Reply</w:t>
      </w:r>
    </w:p>
    <w:p w:rsidR="0069208E" w:rsidRDefault="0069208E" w:rsidP="002B1576">
      <w:pPr>
        <w:jc w:val="both"/>
        <w:rPr>
          <w:szCs w:val="24"/>
        </w:rPr>
      </w:pPr>
    </w:p>
    <w:p w:rsidR="0069208E" w:rsidRPr="0069208E" w:rsidRDefault="0069208E" w:rsidP="002B1576">
      <w:pPr>
        <w:jc w:val="both"/>
        <w:rPr>
          <w:szCs w:val="24"/>
        </w:rPr>
      </w:pPr>
      <w:r w:rsidRPr="0069208E">
        <w:rPr>
          <w:szCs w:val="24"/>
        </w:rPr>
        <w:t xml:space="preserve">The matter was called on 29 May 2014 before the Supreme Court for the plaintiff’s stand on the plea </w:t>
      </w:r>
      <w:r w:rsidRPr="0069208E">
        <w:rPr>
          <w:i/>
          <w:szCs w:val="24"/>
        </w:rPr>
        <w:t xml:space="preserve">in </w:t>
      </w:r>
      <w:proofErr w:type="spellStart"/>
      <w:r w:rsidRPr="0069208E">
        <w:rPr>
          <w:i/>
          <w:szCs w:val="24"/>
        </w:rPr>
        <w:t>limine</w:t>
      </w:r>
      <w:proofErr w:type="spellEnd"/>
      <w:r w:rsidRPr="0069208E">
        <w:rPr>
          <w:i/>
          <w:szCs w:val="24"/>
        </w:rPr>
        <w:t xml:space="preserve"> </w:t>
      </w:r>
      <w:r w:rsidRPr="0069208E">
        <w:rPr>
          <w:szCs w:val="24"/>
        </w:rPr>
        <w:t xml:space="preserve">filed by the defendant and is still outstanding. </w:t>
      </w:r>
    </w:p>
    <w:p w:rsidR="00621FE7" w:rsidRPr="0069208E" w:rsidRDefault="00621FE7" w:rsidP="002B1576">
      <w:pPr>
        <w:jc w:val="both"/>
        <w:rPr>
          <w:b/>
          <w:i/>
          <w:szCs w:val="24"/>
        </w:rPr>
      </w:pPr>
    </w:p>
    <w:p w:rsidR="0069208E" w:rsidRDefault="0069208E" w:rsidP="002B1576">
      <w:pPr>
        <w:jc w:val="both"/>
        <w:rPr>
          <w:b/>
          <w:i/>
          <w:szCs w:val="24"/>
        </w:rPr>
      </w:pPr>
    </w:p>
    <w:p w:rsidR="0000691A" w:rsidRPr="00CC449F" w:rsidRDefault="0000691A" w:rsidP="002B1576">
      <w:pPr>
        <w:spacing w:after="200"/>
        <w:jc w:val="both"/>
        <w:rPr>
          <w:i/>
          <w:szCs w:val="24"/>
        </w:rPr>
      </w:pPr>
      <w:r w:rsidRPr="00CC449F">
        <w:rPr>
          <w:i/>
          <w:szCs w:val="24"/>
        </w:rPr>
        <w:t>Advance – Fibre Glass Boats – Rs 14,847,000</w:t>
      </w:r>
    </w:p>
    <w:p w:rsidR="0000691A" w:rsidRPr="00EA49AD" w:rsidRDefault="0000691A" w:rsidP="002B1576">
      <w:pPr>
        <w:spacing w:after="200"/>
        <w:jc w:val="both"/>
        <w:rPr>
          <w:szCs w:val="24"/>
        </w:rPr>
      </w:pPr>
      <w:r w:rsidRPr="00EA49AD">
        <w:rPr>
          <w:szCs w:val="24"/>
        </w:rPr>
        <w:t xml:space="preserve">Loans totalling Rs 14,585,000 made in December 2011 to five co-operative societies for the acquisition of five fibre-glass boats under the “Promotion of Outer Lagoon Fishing Development Scheme” were reviewed. Loan agreements with the cooperative societies were </w:t>
      </w:r>
      <w:r w:rsidRPr="00EA49AD">
        <w:rPr>
          <w:szCs w:val="24"/>
        </w:rPr>
        <w:lastRenderedPageBreak/>
        <w:t xml:space="preserve">signed </w:t>
      </w:r>
      <w:r w:rsidR="0089293B" w:rsidRPr="00EA49AD">
        <w:rPr>
          <w:szCs w:val="24"/>
        </w:rPr>
        <w:t xml:space="preserve">for </w:t>
      </w:r>
      <w:r w:rsidR="0089293B">
        <w:rPr>
          <w:szCs w:val="24"/>
        </w:rPr>
        <w:t>Rs</w:t>
      </w:r>
      <w:r w:rsidRPr="00EA49AD">
        <w:rPr>
          <w:szCs w:val="24"/>
        </w:rPr>
        <w:t xml:space="preserve"> 13,207,750, that is Rs 2,641,550 for each society. Agreements in respect of the difference of Rs 1,377,250 were still not signed.</w:t>
      </w:r>
    </w:p>
    <w:p w:rsidR="0000691A" w:rsidRDefault="0000691A" w:rsidP="002B1576">
      <w:pPr>
        <w:jc w:val="both"/>
        <w:rPr>
          <w:szCs w:val="24"/>
        </w:rPr>
      </w:pPr>
      <w:r>
        <w:rPr>
          <w:szCs w:val="24"/>
        </w:rPr>
        <w:t>In 2012, additional expenditure totalling Rs 262,000, that is Rs 52,400 for each cooperative society were incurred by the RRA for the purchase of satellite phones/hooks and accessories which were issued to the societies. Despite the RRA’s reply to paragraph 2.3.1 of the Audit Report 2012 to the effect that the Commission for Fisheries is taking steps for signing the agreement</w:t>
      </w:r>
      <w:r w:rsidRPr="00344129">
        <w:rPr>
          <w:szCs w:val="24"/>
        </w:rPr>
        <w:t xml:space="preserve"> in </w:t>
      </w:r>
      <w:r>
        <w:rPr>
          <w:szCs w:val="24"/>
        </w:rPr>
        <w:t xml:space="preserve">relation to the additional </w:t>
      </w:r>
      <w:r w:rsidRPr="00D652CE">
        <w:rPr>
          <w:szCs w:val="24"/>
        </w:rPr>
        <w:t>loans</w:t>
      </w:r>
      <w:r>
        <w:rPr>
          <w:szCs w:val="24"/>
        </w:rPr>
        <w:t xml:space="preserve"> of Rs 1,639,250</w:t>
      </w:r>
      <w:r w:rsidRPr="00D652CE">
        <w:rPr>
          <w:szCs w:val="24"/>
        </w:rPr>
        <w:t xml:space="preserve">, these were still not signed as </w:t>
      </w:r>
      <w:r w:rsidR="0089293B" w:rsidRPr="00D652CE">
        <w:rPr>
          <w:szCs w:val="24"/>
        </w:rPr>
        <w:t xml:space="preserve">of </w:t>
      </w:r>
      <w:r w:rsidR="0089293B">
        <w:rPr>
          <w:szCs w:val="24"/>
        </w:rPr>
        <w:t>31</w:t>
      </w:r>
      <w:r w:rsidRPr="00D652CE">
        <w:rPr>
          <w:szCs w:val="24"/>
        </w:rPr>
        <w:t xml:space="preserve"> March 2014. Total advance made to each society as of 31 December 2013 amounted to </w:t>
      </w:r>
      <w:r w:rsidR="0089293B">
        <w:rPr>
          <w:szCs w:val="24"/>
        </w:rPr>
        <w:br/>
      </w:r>
      <w:r w:rsidRPr="00D652CE">
        <w:rPr>
          <w:szCs w:val="24"/>
        </w:rPr>
        <w:t>Rs 2,969,400.</w:t>
      </w:r>
    </w:p>
    <w:p w:rsidR="0000691A" w:rsidRPr="00D652CE" w:rsidRDefault="0000691A" w:rsidP="002B1576">
      <w:pPr>
        <w:ind w:left="360"/>
        <w:jc w:val="both"/>
        <w:rPr>
          <w:szCs w:val="24"/>
        </w:rPr>
      </w:pPr>
    </w:p>
    <w:p w:rsidR="0000691A" w:rsidRDefault="0000691A" w:rsidP="002B1576">
      <w:pPr>
        <w:jc w:val="both"/>
        <w:rPr>
          <w:szCs w:val="24"/>
        </w:rPr>
      </w:pPr>
      <w:r w:rsidRPr="009B5E1D">
        <w:rPr>
          <w:szCs w:val="24"/>
        </w:rPr>
        <w:t>The</w:t>
      </w:r>
      <w:r>
        <w:rPr>
          <w:szCs w:val="24"/>
        </w:rPr>
        <w:t xml:space="preserve">se observations </w:t>
      </w:r>
      <w:r w:rsidRPr="009B5E1D">
        <w:rPr>
          <w:szCs w:val="24"/>
        </w:rPr>
        <w:t>were</w:t>
      </w:r>
      <w:r>
        <w:rPr>
          <w:szCs w:val="24"/>
        </w:rPr>
        <w:t xml:space="preserve"> also</w:t>
      </w:r>
      <w:r w:rsidRPr="009B5E1D">
        <w:rPr>
          <w:szCs w:val="24"/>
        </w:rPr>
        <w:t xml:space="preserve"> </w:t>
      </w:r>
      <w:r>
        <w:rPr>
          <w:szCs w:val="24"/>
        </w:rPr>
        <w:t>noted:</w:t>
      </w:r>
    </w:p>
    <w:p w:rsidR="0000691A" w:rsidRPr="009B5E1D" w:rsidRDefault="0000691A" w:rsidP="002B1576">
      <w:pPr>
        <w:jc w:val="both"/>
        <w:rPr>
          <w:szCs w:val="24"/>
        </w:rPr>
      </w:pPr>
    </w:p>
    <w:p w:rsidR="0000691A" w:rsidRPr="00824406" w:rsidRDefault="0000691A" w:rsidP="002B1576">
      <w:pPr>
        <w:numPr>
          <w:ilvl w:val="0"/>
          <w:numId w:val="2"/>
        </w:numPr>
        <w:spacing w:after="200"/>
        <w:ind w:left="360"/>
        <w:jc w:val="both"/>
        <w:rPr>
          <w:szCs w:val="24"/>
        </w:rPr>
      </w:pPr>
      <w:r w:rsidRPr="00824406">
        <w:rPr>
          <w:szCs w:val="24"/>
        </w:rPr>
        <w:t xml:space="preserve">Monthly interest amounting to Rs 11,006 is payable as from January 2012 by each society </w:t>
      </w:r>
      <w:r>
        <w:rPr>
          <w:szCs w:val="24"/>
        </w:rPr>
        <w:t xml:space="preserve">on the loan of Rs 2,641,550 </w:t>
      </w:r>
      <w:r w:rsidRPr="00824406">
        <w:rPr>
          <w:szCs w:val="24"/>
        </w:rPr>
        <w:t>as per loan agreement signed in December 2011. While principal repayment was due after a moratorium of one year</w:t>
      </w:r>
      <w:r>
        <w:rPr>
          <w:szCs w:val="24"/>
        </w:rPr>
        <w:t>,</w:t>
      </w:r>
      <w:r w:rsidRPr="00824406">
        <w:rPr>
          <w:szCs w:val="24"/>
        </w:rPr>
        <w:t xml:space="preserve"> that is</w:t>
      </w:r>
      <w:r>
        <w:rPr>
          <w:szCs w:val="24"/>
        </w:rPr>
        <w:t>,</w:t>
      </w:r>
      <w:r w:rsidRPr="00824406">
        <w:rPr>
          <w:szCs w:val="24"/>
        </w:rPr>
        <w:t xml:space="preserve"> in January 2013, none of the societies has so far made any repayment as of 26 March 2014.</w:t>
      </w:r>
      <w:r>
        <w:rPr>
          <w:szCs w:val="24"/>
        </w:rPr>
        <w:t xml:space="preserve"> </w:t>
      </w:r>
      <w:r w:rsidRPr="00824406">
        <w:rPr>
          <w:szCs w:val="24"/>
        </w:rPr>
        <w:t>Further</w:t>
      </w:r>
      <w:r>
        <w:rPr>
          <w:szCs w:val="24"/>
        </w:rPr>
        <w:t>more</w:t>
      </w:r>
      <w:r w:rsidRPr="00824406">
        <w:rPr>
          <w:szCs w:val="24"/>
        </w:rPr>
        <w:t>, the modalities of reimbursement by each society in respect of the loan for the fishing equipment amounting to Rs</w:t>
      </w:r>
      <w:r>
        <w:rPr>
          <w:szCs w:val="24"/>
        </w:rPr>
        <w:t xml:space="preserve"> </w:t>
      </w:r>
      <w:r w:rsidRPr="00824406">
        <w:rPr>
          <w:szCs w:val="24"/>
        </w:rPr>
        <w:t>327,850</w:t>
      </w:r>
      <w:r>
        <w:rPr>
          <w:szCs w:val="24"/>
        </w:rPr>
        <w:t xml:space="preserve"> </w:t>
      </w:r>
      <w:r w:rsidRPr="00824406">
        <w:rPr>
          <w:szCs w:val="24"/>
        </w:rPr>
        <w:t>have yet to be defined.</w:t>
      </w:r>
    </w:p>
    <w:p w:rsidR="0000691A" w:rsidRPr="00344129" w:rsidRDefault="0000691A" w:rsidP="002B1576">
      <w:pPr>
        <w:numPr>
          <w:ilvl w:val="0"/>
          <w:numId w:val="2"/>
        </w:numPr>
        <w:spacing w:after="200"/>
        <w:ind w:left="360"/>
        <w:jc w:val="both"/>
        <w:rPr>
          <w:szCs w:val="24"/>
        </w:rPr>
      </w:pPr>
      <w:r w:rsidRPr="00344129">
        <w:rPr>
          <w:szCs w:val="24"/>
        </w:rPr>
        <w:t>Inscription of a lien in favour of RRA on the boats has still not been done</w:t>
      </w:r>
      <w:r>
        <w:rPr>
          <w:szCs w:val="24"/>
        </w:rPr>
        <w:t xml:space="preserve"> </w:t>
      </w:r>
      <w:r w:rsidRPr="00344129">
        <w:rPr>
          <w:szCs w:val="24"/>
        </w:rPr>
        <w:t>to safeguard the interest of both parties. The boats are registered with the Commission of Fisheries.</w:t>
      </w:r>
    </w:p>
    <w:p w:rsidR="00DF0496" w:rsidRDefault="0000691A" w:rsidP="002B1576">
      <w:pPr>
        <w:numPr>
          <w:ilvl w:val="0"/>
          <w:numId w:val="2"/>
        </w:numPr>
        <w:spacing w:after="200"/>
        <w:ind w:left="360"/>
        <w:jc w:val="both"/>
        <w:rPr>
          <w:szCs w:val="24"/>
        </w:rPr>
      </w:pPr>
      <w:r>
        <w:rPr>
          <w:szCs w:val="24"/>
        </w:rPr>
        <w:t>T</w:t>
      </w:r>
      <w:r w:rsidRPr="00824406">
        <w:rPr>
          <w:szCs w:val="24"/>
        </w:rPr>
        <w:t>he Acco</w:t>
      </w:r>
      <w:r>
        <w:rPr>
          <w:szCs w:val="24"/>
        </w:rPr>
        <w:t>untant General has requested</w:t>
      </w:r>
      <w:r w:rsidRPr="00824406">
        <w:rPr>
          <w:szCs w:val="24"/>
        </w:rPr>
        <w:t xml:space="preserve"> RRA to settle an amount of Rs</w:t>
      </w:r>
      <w:r>
        <w:rPr>
          <w:szCs w:val="24"/>
        </w:rPr>
        <w:t xml:space="preserve"> 1,130,812, being interest at five</w:t>
      </w:r>
      <w:r w:rsidRPr="00824406">
        <w:rPr>
          <w:szCs w:val="24"/>
        </w:rPr>
        <w:t xml:space="preserve"> per cent per annum payable at 30 June 2013</w:t>
      </w:r>
      <w:r>
        <w:rPr>
          <w:szCs w:val="24"/>
        </w:rPr>
        <w:t>, on</w:t>
      </w:r>
      <w:r w:rsidRPr="003008DF">
        <w:rPr>
          <w:szCs w:val="24"/>
        </w:rPr>
        <w:t xml:space="preserve"> </w:t>
      </w:r>
      <w:r w:rsidRPr="00824406">
        <w:rPr>
          <w:szCs w:val="24"/>
        </w:rPr>
        <w:t>the loan of Rs 14,847,000.</w:t>
      </w:r>
      <w:r>
        <w:rPr>
          <w:szCs w:val="24"/>
        </w:rPr>
        <w:t xml:space="preserve"> </w:t>
      </w:r>
      <w:r w:rsidRPr="00824406">
        <w:rPr>
          <w:szCs w:val="24"/>
        </w:rPr>
        <w:t xml:space="preserve">As </w:t>
      </w:r>
      <w:r>
        <w:rPr>
          <w:szCs w:val="24"/>
        </w:rPr>
        <w:t>of</w:t>
      </w:r>
      <w:r w:rsidRPr="00824406">
        <w:rPr>
          <w:szCs w:val="24"/>
        </w:rPr>
        <w:t xml:space="preserve"> 31 December</w:t>
      </w:r>
      <w:r>
        <w:rPr>
          <w:szCs w:val="24"/>
        </w:rPr>
        <w:t> 2013, the interest amounting to</w:t>
      </w:r>
      <w:r w:rsidRPr="00824406">
        <w:rPr>
          <w:szCs w:val="24"/>
        </w:rPr>
        <w:t xml:space="preserve"> </w:t>
      </w:r>
      <w:r w:rsidRPr="00824406">
        <w:rPr>
          <w:bCs/>
          <w:szCs w:val="24"/>
        </w:rPr>
        <w:t>Rs</w:t>
      </w:r>
      <w:r>
        <w:rPr>
          <w:bCs/>
          <w:szCs w:val="24"/>
        </w:rPr>
        <w:t xml:space="preserve"> 1,505,038</w:t>
      </w:r>
      <w:r w:rsidRPr="00824406">
        <w:rPr>
          <w:szCs w:val="24"/>
        </w:rPr>
        <w:t xml:space="preserve"> has not </w:t>
      </w:r>
      <w:r>
        <w:rPr>
          <w:szCs w:val="24"/>
        </w:rPr>
        <w:t>yet been paid.</w:t>
      </w:r>
    </w:p>
    <w:p w:rsidR="0069208E" w:rsidRDefault="0069208E" w:rsidP="002B1576">
      <w:pPr>
        <w:jc w:val="both"/>
        <w:rPr>
          <w:b/>
          <w:i/>
          <w:szCs w:val="24"/>
        </w:rPr>
      </w:pPr>
    </w:p>
    <w:p w:rsidR="0069208E" w:rsidRPr="0069208E" w:rsidRDefault="0069208E" w:rsidP="002B1576">
      <w:pPr>
        <w:jc w:val="both"/>
        <w:rPr>
          <w:b/>
          <w:i/>
          <w:szCs w:val="24"/>
        </w:rPr>
      </w:pPr>
      <w:r w:rsidRPr="0069208E">
        <w:rPr>
          <w:b/>
          <w:i/>
          <w:szCs w:val="24"/>
        </w:rPr>
        <w:t>RRA’s Reply</w:t>
      </w:r>
    </w:p>
    <w:p w:rsidR="0069208E" w:rsidRDefault="0069208E" w:rsidP="002B1576">
      <w:pPr>
        <w:jc w:val="both"/>
        <w:rPr>
          <w:szCs w:val="24"/>
        </w:rPr>
      </w:pPr>
    </w:p>
    <w:p w:rsidR="0069208E" w:rsidRPr="0069208E" w:rsidRDefault="0069208E" w:rsidP="002B1576">
      <w:pPr>
        <w:jc w:val="both"/>
        <w:rPr>
          <w:szCs w:val="24"/>
        </w:rPr>
      </w:pPr>
      <w:r w:rsidRPr="0069208E">
        <w:rPr>
          <w:szCs w:val="24"/>
        </w:rPr>
        <w:t>A new management plan is being implemented which is expected to sort out the recovery of the advance of the five Co-</w:t>
      </w:r>
      <w:r w:rsidR="0089293B" w:rsidRPr="0069208E">
        <w:rPr>
          <w:szCs w:val="24"/>
        </w:rPr>
        <w:t xml:space="preserve">operative </w:t>
      </w:r>
      <w:r w:rsidRPr="0069208E">
        <w:rPr>
          <w:szCs w:val="24"/>
        </w:rPr>
        <w:t>Societies.</w:t>
      </w:r>
    </w:p>
    <w:p w:rsidR="0069208E" w:rsidRDefault="0069208E" w:rsidP="002B1576">
      <w:pPr>
        <w:jc w:val="both"/>
        <w:rPr>
          <w:szCs w:val="24"/>
        </w:rPr>
      </w:pPr>
    </w:p>
    <w:p w:rsidR="0089293B" w:rsidRDefault="0089293B" w:rsidP="002B1576">
      <w:pPr>
        <w:jc w:val="both"/>
        <w:rPr>
          <w:szCs w:val="24"/>
        </w:rPr>
      </w:pPr>
    </w:p>
    <w:p w:rsidR="0000691A" w:rsidRPr="00CC449F" w:rsidRDefault="0000691A" w:rsidP="002B1576">
      <w:pPr>
        <w:spacing w:after="200"/>
        <w:jc w:val="both"/>
        <w:rPr>
          <w:szCs w:val="24"/>
        </w:rPr>
      </w:pPr>
      <w:r w:rsidRPr="00CC449F">
        <w:rPr>
          <w:i/>
          <w:szCs w:val="24"/>
        </w:rPr>
        <w:t xml:space="preserve">Advance to </w:t>
      </w:r>
      <w:proofErr w:type="spellStart"/>
      <w:r w:rsidRPr="00CC449F">
        <w:rPr>
          <w:i/>
          <w:szCs w:val="24"/>
        </w:rPr>
        <w:t>Rodrigues</w:t>
      </w:r>
      <w:proofErr w:type="spellEnd"/>
      <w:r w:rsidRPr="00CC449F">
        <w:rPr>
          <w:i/>
          <w:szCs w:val="24"/>
        </w:rPr>
        <w:t xml:space="preserve"> Trading and Marketing Company Limited (RTMC) – Rs 2,621,970</w:t>
      </w:r>
    </w:p>
    <w:p w:rsidR="0000691A" w:rsidRDefault="0000691A" w:rsidP="002B1576">
      <w:pPr>
        <w:pStyle w:val="ListParagraph"/>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On</w:t>
      </w:r>
      <w:r w:rsidRPr="0034412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18 </w:t>
      </w:r>
      <w:r w:rsidRPr="00344129">
        <w:rPr>
          <w:rFonts w:ascii="Times New Roman" w:hAnsi="Times New Roman"/>
          <w:sz w:val="24"/>
          <w:szCs w:val="24"/>
          <w:shd w:val="clear" w:color="auto" w:fill="FFFFFF"/>
        </w:rPr>
        <w:t>November 2</w:t>
      </w:r>
      <w:r>
        <w:rPr>
          <w:rFonts w:ascii="Times New Roman" w:hAnsi="Times New Roman"/>
          <w:sz w:val="24"/>
          <w:szCs w:val="24"/>
          <w:shd w:val="clear" w:color="auto" w:fill="FFFFFF"/>
        </w:rPr>
        <w:t>013, an agreement to advance</w:t>
      </w:r>
      <w:r w:rsidRPr="00344129">
        <w:rPr>
          <w:rFonts w:ascii="Times New Roman" w:hAnsi="Times New Roman"/>
          <w:sz w:val="24"/>
          <w:szCs w:val="24"/>
          <w:shd w:val="clear" w:color="auto" w:fill="FFFFFF"/>
        </w:rPr>
        <w:t xml:space="preserve"> an amount of Rs 2,621,970 was s</w:t>
      </w:r>
      <w:r>
        <w:rPr>
          <w:rFonts w:ascii="Times New Roman" w:hAnsi="Times New Roman"/>
          <w:sz w:val="24"/>
          <w:szCs w:val="24"/>
          <w:shd w:val="clear" w:color="auto" w:fill="FFFFFF"/>
        </w:rPr>
        <w:t xml:space="preserve">igned between RTMC and the RRA. </w:t>
      </w:r>
      <w:r w:rsidRPr="00344129">
        <w:rPr>
          <w:rFonts w:ascii="Times New Roman" w:hAnsi="Times New Roman"/>
          <w:sz w:val="24"/>
          <w:szCs w:val="24"/>
          <w:shd w:val="clear" w:color="auto" w:fill="FFFFFF"/>
        </w:rPr>
        <w:t xml:space="preserve">RTMC </w:t>
      </w:r>
      <w:r>
        <w:rPr>
          <w:rFonts w:ascii="Times New Roman" w:hAnsi="Times New Roman"/>
          <w:sz w:val="24"/>
          <w:szCs w:val="24"/>
          <w:shd w:val="clear" w:color="auto" w:fill="FFFFFF"/>
        </w:rPr>
        <w:t>ha</w:t>
      </w:r>
      <w:r w:rsidRPr="00344129">
        <w:rPr>
          <w:rFonts w:ascii="Times New Roman" w:hAnsi="Times New Roman"/>
          <w:sz w:val="24"/>
          <w:szCs w:val="24"/>
          <w:shd w:val="clear" w:color="auto" w:fill="FFFFFF"/>
        </w:rPr>
        <w:t>s to repay the advance in one instalment within a period of three months as from the date of the agreement</w:t>
      </w:r>
      <w:r>
        <w:rPr>
          <w:rFonts w:ascii="Times New Roman" w:hAnsi="Times New Roman"/>
          <w:sz w:val="24"/>
          <w:szCs w:val="24"/>
          <w:shd w:val="clear" w:color="auto" w:fill="FFFFFF"/>
        </w:rPr>
        <w:t>, that is 18 February 2014. The company agreed to use the advanced money solely as working capital to meet costs relating to the purchase of onions from local planters and the marketing of the onions.</w:t>
      </w:r>
    </w:p>
    <w:p w:rsidR="0000691A" w:rsidRPr="00344129" w:rsidRDefault="0000691A" w:rsidP="002B1576">
      <w:pPr>
        <w:pStyle w:val="ListParagraph"/>
        <w:spacing w:after="0" w:line="240" w:lineRule="auto"/>
        <w:ind w:left="0"/>
        <w:jc w:val="both"/>
        <w:rPr>
          <w:rFonts w:ascii="Times New Roman" w:hAnsi="Times New Roman"/>
          <w:sz w:val="24"/>
          <w:szCs w:val="24"/>
        </w:rPr>
      </w:pPr>
    </w:p>
    <w:p w:rsidR="0000691A" w:rsidRPr="005016D3" w:rsidRDefault="0000691A" w:rsidP="002B1576">
      <w:pPr>
        <w:pStyle w:val="ListParagraph"/>
        <w:spacing w:line="240" w:lineRule="auto"/>
        <w:ind w:left="0"/>
        <w:jc w:val="both"/>
        <w:rPr>
          <w:rFonts w:ascii="Times New Roman" w:hAnsi="Times New Roman"/>
          <w:sz w:val="24"/>
          <w:szCs w:val="24"/>
          <w:shd w:val="clear" w:color="auto" w:fill="FFFFFF"/>
        </w:rPr>
      </w:pPr>
      <w:r w:rsidRPr="005016D3">
        <w:rPr>
          <w:rFonts w:ascii="Times New Roman" w:hAnsi="Times New Roman"/>
          <w:sz w:val="24"/>
          <w:szCs w:val="24"/>
          <w:shd w:val="clear" w:color="auto" w:fill="FFFFFF"/>
        </w:rPr>
        <w:t xml:space="preserve">Despite the </w:t>
      </w:r>
      <w:r>
        <w:rPr>
          <w:rFonts w:ascii="Times New Roman" w:hAnsi="Times New Roman"/>
          <w:sz w:val="24"/>
          <w:szCs w:val="24"/>
          <w:shd w:val="clear" w:color="auto" w:fill="FFFFFF"/>
        </w:rPr>
        <w:t xml:space="preserve">fact that the </w:t>
      </w:r>
      <w:r w:rsidRPr="005016D3">
        <w:rPr>
          <w:rFonts w:ascii="Times New Roman" w:hAnsi="Times New Roman"/>
          <w:sz w:val="24"/>
          <w:szCs w:val="24"/>
          <w:shd w:val="clear" w:color="auto" w:fill="FFFFFF"/>
        </w:rPr>
        <w:t xml:space="preserve">company </w:t>
      </w:r>
      <w:r>
        <w:rPr>
          <w:rFonts w:ascii="Times New Roman" w:hAnsi="Times New Roman"/>
          <w:sz w:val="24"/>
          <w:szCs w:val="24"/>
          <w:shd w:val="clear" w:color="auto" w:fill="FFFFFF"/>
        </w:rPr>
        <w:t xml:space="preserve">had </w:t>
      </w:r>
      <w:r w:rsidRPr="005016D3">
        <w:rPr>
          <w:rFonts w:ascii="Times New Roman" w:hAnsi="Times New Roman"/>
          <w:sz w:val="24"/>
          <w:szCs w:val="24"/>
          <w:shd w:val="clear" w:color="auto" w:fill="FFFFFF"/>
        </w:rPr>
        <w:t>accumulated loss</w:t>
      </w:r>
      <w:r>
        <w:rPr>
          <w:rFonts w:ascii="Times New Roman" w:hAnsi="Times New Roman"/>
          <w:sz w:val="24"/>
          <w:szCs w:val="24"/>
          <w:shd w:val="clear" w:color="auto" w:fill="FFFFFF"/>
        </w:rPr>
        <w:t>es</w:t>
      </w:r>
      <w:r w:rsidRPr="005016D3">
        <w:rPr>
          <w:rFonts w:ascii="Times New Roman" w:hAnsi="Times New Roman"/>
          <w:sz w:val="24"/>
          <w:szCs w:val="24"/>
          <w:shd w:val="clear" w:color="auto" w:fill="FFFFFF"/>
        </w:rPr>
        <w:t xml:space="preserve"> of Rs 3.2 million</w:t>
      </w:r>
      <w:r w:rsidR="003A413A">
        <w:rPr>
          <w:rFonts w:ascii="Times New Roman" w:hAnsi="Times New Roman"/>
          <w:sz w:val="24"/>
          <w:szCs w:val="24"/>
          <w:shd w:val="clear" w:color="auto" w:fill="FFFFFF"/>
        </w:rPr>
        <w:t>,</w:t>
      </w:r>
      <w:r w:rsidRPr="005016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together with </w:t>
      </w:r>
      <w:r w:rsidRPr="005016D3">
        <w:rPr>
          <w:rFonts w:ascii="Times New Roman" w:hAnsi="Times New Roman"/>
          <w:sz w:val="24"/>
          <w:szCs w:val="24"/>
          <w:shd w:val="clear" w:color="auto" w:fill="FFFFFF"/>
        </w:rPr>
        <w:t xml:space="preserve">an </w:t>
      </w:r>
      <w:r>
        <w:rPr>
          <w:rFonts w:ascii="Times New Roman" w:hAnsi="Times New Roman"/>
          <w:sz w:val="24"/>
          <w:szCs w:val="24"/>
          <w:shd w:val="clear" w:color="auto" w:fill="FFFFFF"/>
        </w:rPr>
        <w:t>outstanding l</w:t>
      </w:r>
      <w:r w:rsidRPr="005016D3">
        <w:rPr>
          <w:rFonts w:ascii="Times New Roman" w:hAnsi="Times New Roman"/>
          <w:sz w:val="24"/>
          <w:szCs w:val="24"/>
          <w:shd w:val="clear" w:color="auto" w:fill="FFFFFF"/>
        </w:rPr>
        <w:t xml:space="preserve">oan of Rs 4 million as of 31 December 2012, </w:t>
      </w:r>
      <w:r>
        <w:rPr>
          <w:rFonts w:ascii="Times New Roman" w:hAnsi="Times New Roman"/>
          <w:sz w:val="24"/>
          <w:szCs w:val="24"/>
          <w:shd w:val="clear" w:color="auto" w:fill="FFFFFF"/>
        </w:rPr>
        <w:t xml:space="preserve">RRA still made the </w:t>
      </w:r>
      <w:r w:rsidRPr="005016D3">
        <w:rPr>
          <w:rFonts w:ascii="Times New Roman" w:hAnsi="Times New Roman"/>
          <w:sz w:val="24"/>
          <w:szCs w:val="24"/>
          <w:shd w:val="clear" w:color="auto" w:fill="FFFFFF"/>
        </w:rPr>
        <w:t xml:space="preserve">advance of </w:t>
      </w:r>
      <w:r>
        <w:rPr>
          <w:rFonts w:ascii="Times New Roman" w:hAnsi="Times New Roman"/>
          <w:sz w:val="24"/>
          <w:szCs w:val="24"/>
          <w:shd w:val="clear" w:color="auto" w:fill="FFFFFF"/>
        </w:rPr>
        <w:br/>
      </w:r>
      <w:r w:rsidRPr="005016D3">
        <w:rPr>
          <w:rFonts w:ascii="Times New Roman" w:hAnsi="Times New Roman"/>
          <w:sz w:val="24"/>
          <w:szCs w:val="24"/>
          <w:shd w:val="clear" w:color="auto" w:fill="FFFFFF"/>
        </w:rPr>
        <w:t xml:space="preserve">Rs 2,621,970. As of </w:t>
      </w:r>
      <w:r>
        <w:rPr>
          <w:rFonts w:ascii="Times New Roman" w:hAnsi="Times New Roman"/>
          <w:sz w:val="24"/>
          <w:szCs w:val="24"/>
          <w:shd w:val="clear" w:color="auto" w:fill="FFFFFF"/>
        </w:rPr>
        <w:t xml:space="preserve">30 </w:t>
      </w:r>
      <w:r w:rsidRPr="005016D3">
        <w:rPr>
          <w:rFonts w:ascii="Times New Roman" w:hAnsi="Times New Roman"/>
          <w:sz w:val="24"/>
          <w:szCs w:val="24"/>
          <w:shd w:val="clear" w:color="auto" w:fill="FFFFFF"/>
        </w:rPr>
        <w:t xml:space="preserve">April 2014, two months after due date, </w:t>
      </w:r>
      <w:r>
        <w:rPr>
          <w:rFonts w:ascii="Times New Roman" w:hAnsi="Times New Roman"/>
          <w:sz w:val="24"/>
          <w:szCs w:val="24"/>
          <w:shd w:val="clear" w:color="auto" w:fill="FFFFFF"/>
        </w:rPr>
        <w:t>the company has not yet reimbursed the amount due.</w:t>
      </w:r>
    </w:p>
    <w:p w:rsidR="0000691A" w:rsidRDefault="0000691A" w:rsidP="002B1576">
      <w:pPr>
        <w:pStyle w:val="ListParagraph"/>
        <w:spacing w:line="240" w:lineRule="auto"/>
        <w:ind w:left="0"/>
        <w:jc w:val="both"/>
        <w:rPr>
          <w:rFonts w:ascii="Times New Roman" w:hAnsi="Times New Roman"/>
          <w:sz w:val="24"/>
          <w:szCs w:val="24"/>
          <w:shd w:val="clear" w:color="auto" w:fill="FFFFFF"/>
        </w:rPr>
      </w:pPr>
    </w:p>
    <w:p w:rsidR="0000691A" w:rsidRDefault="0000691A" w:rsidP="002B1576">
      <w:pPr>
        <w:pStyle w:val="ListParagraph"/>
        <w:spacing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Contrary to the </w:t>
      </w:r>
      <w:r w:rsidRPr="00344129">
        <w:rPr>
          <w:rFonts w:ascii="Times New Roman" w:hAnsi="Times New Roman"/>
          <w:sz w:val="24"/>
          <w:szCs w:val="24"/>
          <w:shd w:val="clear" w:color="auto" w:fill="FFFFFF"/>
        </w:rPr>
        <w:t>agreement</w:t>
      </w:r>
      <w:r>
        <w:rPr>
          <w:rFonts w:ascii="Times New Roman" w:hAnsi="Times New Roman"/>
          <w:sz w:val="24"/>
          <w:szCs w:val="24"/>
          <w:shd w:val="clear" w:color="auto" w:fill="FFFFFF"/>
        </w:rPr>
        <w:t xml:space="preserve"> which</w:t>
      </w:r>
      <w:r w:rsidRPr="0034412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make</w:t>
      </w:r>
      <w:r w:rsidR="003A413A">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provision for </w:t>
      </w:r>
      <w:r w:rsidRPr="00344129">
        <w:rPr>
          <w:rFonts w:ascii="Times New Roman" w:hAnsi="Times New Roman"/>
          <w:sz w:val="24"/>
          <w:szCs w:val="24"/>
          <w:shd w:val="clear" w:color="auto" w:fill="FFFFFF"/>
        </w:rPr>
        <w:t xml:space="preserve">the registration of a lien in the form of a fixed charge on the company’s assets and a </w:t>
      </w:r>
      <w:r>
        <w:rPr>
          <w:rFonts w:ascii="Times New Roman" w:hAnsi="Times New Roman"/>
          <w:sz w:val="24"/>
          <w:szCs w:val="24"/>
          <w:shd w:val="clear" w:color="auto" w:fill="FFFFFF"/>
        </w:rPr>
        <w:t>g</w:t>
      </w:r>
      <w:r w:rsidRPr="00344129">
        <w:rPr>
          <w:rFonts w:ascii="Times New Roman" w:hAnsi="Times New Roman"/>
          <w:sz w:val="24"/>
          <w:szCs w:val="24"/>
          <w:shd w:val="clear" w:color="auto" w:fill="FFFFFF"/>
        </w:rPr>
        <w:t xml:space="preserve">eneral </w:t>
      </w:r>
      <w:r>
        <w:rPr>
          <w:rFonts w:ascii="Times New Roman" w:hAnsi="Times New Roman"/>
          <w:sz w:val="24"/>
          <w:szCs w:val="24"/>
          <w:shd w:val="clear" w:color="auto" w:fill="FFFFFF"/>
        </w:rPr>
        <w:t>f</w:t>
      </w:r>
      <w:r w:rsidRPr="00344129">
        <w:rPr>
          <w:rFonts w:ascii="Times New Roman" w:hAnsi="Times New Roman"/>
          <w:sz w:val="24"/>
          <w:szCs w:val="24"/>
          <w:shd w:val="clear" w:color="auto" w:fill="FFFFFF"/>
        </w:rPr>
        <w:t xml:space="preserve">loating </w:t>
      </w:r>
      <w:r>
        <w:rPr>
          <w:rFonts w:ascii="Times New Roman" w:hAnsi="Times New Roman"/>
          <w:sz w:val="24"/>
          <w:szCs w:val="24"/>
          <w:shd w:val="clear" w:color="auto" w:fill="FFFFFF"/>
        </w:rPr>
        <w:t>c</w:t>
      </w:r>
      <w:r w:rsidRPr="00344129">
        <w:rPr>
          <w:rFonts w:ascii="Times New Roman" w:hAnsi="Times New Roman"/>
          <w:sz w:val="24"/>
          <w:szCs w:val="24"/>
          <w:shd w:val="clear" w:color="auto" w:fill="FFFFFF"/>
        </w:rPr>
        <w:t xml:space="preserve">harge on the </w:t>
      </w:r>
      <w:r>
        <w:rPr>
          <w:rFonts w:ascii="Times New Roman" w:hAnsi="Times New Roman"/>
          <w:sz w:val="24"/>
          <w:szCs w:val="24"/>
          <w:shd w:val="clear" w:color="auto" w:fill="FFFFFF"/>
        </w:rPr>
        <w:t>c</w:t>
      </w:r>
      <w:r w:rsidRPr="00344129">
        <w:rPr>
          <w:rFonts w:ascii="Times New Roman" w:hAnsi="Times New Roman"/>
          <w:sz w:val="24"/>
          <w:szCs w:val="24"/>
          <w:shd w:val="clear" w:color="auto" w:fill="FFFFFF"/>
        </w:rPr>
        <w:t>omp</w:t>
      </w:r>
      <w:r>
        <w:rPr>
          <w:rFonts w:ascii="Times New Roman" w:hAnsi="Times New Roman"/>
          <w:sz w:val="24"/>
          <w:szCs w:val="24"/>
          <w:shd w:val="clear" w:color="auto" w:fill="FFFFFF"/>
        </w:rPr>
        <w:t>any, no</w:t>
      </w:r>
      <w:r w:rsidRPr="0034412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such </w:t>
      </w:r>
      <w:r w:rsidRPr="00344129">
        <w:rPr>
          <w:rFonts w:ascii="Times New Roman" w:hAnsi="Times New Roman"/>
          <w:sz w:val="24"/>
          <w:szCs w:val="24"/>
          <w:shd w:val="clear" w:color="auto" w:fill="FFFFFF"/>
        </w:rPr>
        <w:t>lien</w:t>
      </w:r>
      <w:r>
        <w:rPr>
          <w:rFonts w:ascii="Times New Roman" w:hAnsi="Times New Roman"/>
          <w:sz w:val="24"/>
          <w:szCs w:val="24"/>
          <w:shd w:val="clear" w:color="auto" w:fill="FFFFFF"/>
        </w:rPr>
        <w:t xml:space="preserve"> has</w:t>
      </w:r>
      <w:r w:rsidRPr="00344129">
        <w:rPr>
          <w:rFonts w:ascii="Times New Roman" w:hAnsi="Times New Roman"/>
          <w:sz w:val="24"/>
          <w:szCs w:val="24"/>
          <w:shd w:val="clear" w:color="auto" w:fill="FFFFFF"/>
        </w:rPr>
        <w:t xml:space="preserve"> been inscribed in favour of RRA. Hence, the interest of RRA has not been </w:t>
      </w:r>
      <w:r>
        <w:rPr>
          <w:rFonts w:ascii="Times New Roman" w:hAnsi="Times New Roman"/>
          <w:sz w:val="24"/>
          <w:szCs w:val="24"/>
          <w:shd w:val="clear" w:color="auto" w:fill="FFFFFF"/>
        </w:rPr>
        <w:t>safeguard</w:t>
      </w:r>
      <w:r w:rsidRPr="00344129">
        <w:rPr>
          <w:rFonts w:ascii="Times New Roman" w:hAnsi="Times New Roman"/>
          <w:sz w:val="24"/>
          <w:szCs w:val="24"/>
          <w:shd w:val="clear" w:color="auto" w:fill="FFFFFF"/>
        </w:rPr>
        <w:t xml:space="preserve">ed. </w:t>
      </w:r>
    </w:p>
    <w:p w:rsidR="0069208E" w:rsidRPr="000237BA" w:rsidRDefault="0069208E" w:rsidP="002B1576">
      <w:pPr>
        <w:jc w:val="both"/>
        <w:rPr>
          <w:b/>
          <w:i/>
          <w:szCs w:val="24"/>
        </w:rPr>
      </w:pPr>
      <w:r w:rsidRPr="000237BA">
        <w:rPr>
          <w:b/>
          <w:i/>
          <w:szCs w:val="24"/>
        </w:rPr>
        <w:lastRenderedPageBreak/>
        <w:t>RRA’s Reply</w:t>
      </w:r>
    </w:p>
    <w:p w:rsidR="0069208E" w:rsidRDefault="0069208E" w:rsidP="002B1576">
      <w:pPr>
        <w:jc w:val="both"/>
        <w:rPr>
          <w:szCs w:val="24"/>
        </w:rPr>
      </w:pPr>
    </w:p>
    <w:p w:rsidR="0069208E" w:rsidRDefault="0069208E" w:rsidP="002B1576">
      <w:pPr>
        <w:jc w:val="both"/>
        <w:rPr>
          <w:szCs w:val="24"/>
        </w:rPr>
      </w:pPr>
      <w:r w:rsidRPr="000237BA">
        <w:rPr>
          <w:szCs w:val="24"/>
        </w:rPr>
        <w:t>The RTMC is working on a business plan geared towards the strengthening of its financial bases to salvage it from the current precarious situation.</w:t>
      </w:r>
    </w:p>
    <w:p w:rsidR="0000691A" w:rsidRDefault="0000691A" w:rsidP="002B1576">
      <w:pPr>
        <w:jc w:val="both"/>
        <w:rPr>
          <w:szCs w:val="24"/>
        </w:rPr>
      </w:pPr>
    </w:p>
    <w:p w:rsidR="0089293B" w:rsidRDefault="0089293B" w:rsidP="002B1576">
      <w:pPr>
        <w:jc w:val="both"/>
        <w:rPr>
          <w:szCs w:val="24"/>
        </w:rPr>
      </w:pPr>
    </w:p>
    <w:p w:rsidR="0000691A" w:rsidRDefault="00CC449F" w:rsidP="002B1576">
      <w:pPr>
        <w:jc w:val="both"/>
        <w:rPr>
          <w:b/>
          <w:szCs w:val="24"/>
        </w:rPr>
      </w:pPr>
      <w:r>
        <w:rPr>
          <w:b/>
          <w:szCs w:val="24"/>
        </w:rPr>
        <w:t xml:space="preserve">2.4 </w:t>
      </w:r>
      <w:r w:rsidR="007B77C7">
        <w:rPr>
          <w:b/>
          <w:szCs w:val="24"/>
        </w:rPr>
        <w:t xml:space="preserve"> </w:t>
      </w:r>
      <w:proofErr w:type="spellStart"/>
      <w:r w:rsidR="0000691A" w:rsidRPr="00344129">
        <w:rPr>
          <w:b/>
          <w:szCs w:val="24"/>
        </w:rPr>
        <w:t>Rodrigues</w:t>
      </w:r>
      <w:proofErr w:type="spellEnd"/>
      <w:r w:rsidR="0000691A" w:rsidRPr="00344129">
        <w:rPr>
          <w:b/>
          <w:szCs w:val="24"/>
        </w:rPr>
        <w:t xml:space="preserve"> Consolidated Fund </w:t>
      </w:r>
      <w:r w:rsidR="0000691A">
        <w:rPr>
          <w:b/>
          <w:szCs w:val="24"/>
        </w:rPr>
        <w:t xml:space="preserve">– </w:t>
      </w:r>
      <w:r w:rsidR="0000691A" w:rsidRPr="00344129">
        <w:rPr>
          <w:b/>
          <w:szCs w:val="24"/>
        </w:rPr>
        <w:t>Rs 43,166,517</w:t>
      </w:r>
    </w:p>
    <w:p w:rsidR="0000691A" w:rsidRPr="00344129" w:rsidRDefault="0000691A" w:rsidP="002B1576">
      <w:pPr>
        <w:jc w:val="both"/>
        <w:rPr>
          <w:b/>
          <w:szCs w:val="24"/>
        </w:rPr>
      </w:pPr>
    </w:p>
    <w:p w:rsidR="0000691A" w:rsidRDefault="0000691A" w:rsidP="002B1576">
      <w:pPr>
        <w:jc w:val="both"/>
        <w:rPr>
          <w:szCs w:val="24"/>
        </w:rPr>
      </w:pPr>
      <w:r w:rsidRPr="00344129">
        <w:rPr>
          <w:szCs w:val="24"/>
        </w:rPr>
        <w:t xml:space="preserve">The </w:t>
      </w:r>
      <w:proofErr w:type="spellStart"/>
      <w:r w:rsidRPr="00344129">
        <w:rPr>
          <w:szCs w:val="24"/>
        </w:rPr>
        <w:t>Rodrigues</w:t>
      </w:r>
      <w:proofErr w:type="spellEnd"/>
      <w:r w:rsidRPr="00344129">
        <w:rPr>
          <w:szCs w:val="24"/>
        </w:rPr>
        <w:t xml:space="preserve"> Consolidate</w:t>
      </w:r>
      <w:r>
        <w:rPr>
          <w:szCs w:val="24"/>
        </w:rPr>
        <w:t xml:space="preserve">d Fund </w:t>
      </w:r>
      <w:r w:rsidRPr="00344129">
        <w:rPr>
          <w:szCs w:val="24"/>
        </w:rPr>
        <w:t xml:space="preserve">was established under Section 75D </w:t>
      </w:r>
      <w:r>
        <w:rPr>
          <w:szCs w:val="24"/>
        </w:rPr>
        <w:t xml:space="preserve">(b) </w:t>
      </w:r>
      <w:r w:rsidRPr="00344129">
        <w:rPr>
          <w:szCs w:val="24"/>
        </w:rPr>
        <w:t>of the Constitution</w:t>
      </w:r>
      <w:r>
        <w:rPr>
          <w:szCs w:val="24"/>
        </w:rPr>
        <w:t>. S</w:t>
      </w:r>
      <w:r w:rsidRPr="00344129">
        <w:rPr>
          <w:szCs w:val="24"/>
        </w:rPr>
        <w:t>ection 42 of the RRA A</w:t>
      </w:r>
      <w:r>
        <w:rPr>
          <w:szCs w:val="24"/>
        </w:rPr>
        <w:t xml:space="preserve">ct  mentions the revenue that is to be credited to the Fund, namely </w:t>
      </w:r>
      <w:r w:rsidRPr="00344129">
        <w:rPr>
          <w:szCs w:val="24"/>
        </w:rPr>
        <w:t>money appropriated by the National Assembly</w:t>
      </w:r>
      <w:r>
        <w:rPr>
          <w:szCs w:val="24"/>
        </w:rPr>
        <w:t xml:space="preserve"> and all revenue of the RRA</w:t>
      </w:r>
      <w:r w:rsidRPr="00344129">
        <w:rPr>
          <w:szCs w:val="24"/>
        </w:rPr>
        <w:t xml:space="preserve">. </w:t>
      </w:r>
    </w:p>
    <w:p w:rsidR="0000691A" w:rsidRPr="00344129" w:rsidRDefault="0000691A" w:rsidP="002B1576">
      <w:pPr>
        <w:jc w:val="both"/>
        <w:rPr>
          <w:szCs w:val="24"/>
        </w:rPr>
      </w:pPr>
    </w:p>
    <w:p w:rsidR="0000691A" w:rsidRDefault="0000691A" w:rsidP="002B1576">
      <w:pPr>
        <w:jc w:val="both"/>
        <w:rPr>
          <w:szCs w:val="24"/>
        </w:rPr>
      </w:pPr>
      <w:r w:rsidRPr="008A03F9">
        <w:rPr>
          <w:szCs w:val="24"/>
        </w:rPr>
        <w:t xml:space="preserve">During 2012, an amount of Rs 12,436,833 was transferred from the </w:t>
      </w:r>
      <w:proofErr w:type="spellStart"/>
      <w:r w:rsidRPr="00344129">
        <w:rPr>
          <w:szCs w:val="24"/>
        </w:rPr>
        <w:t>Rodrigues</w:t>
      </w:r>
      <w:proofErr w:type="spellEnd"/>
      <w:r w:rsidRPr="00344129">
        <w:rPr>
          <w:szCs w:val="24"/>
        </w:rPr>
        <w:t xml:space="preserve"> Consolidate</w:t>
      </w:r>
      <w:r>
        <w:rPr>
          <w:szCs w:val="24"/>
        </w:rPr>
        <w:t>d Fund</w:t>
      </w:r>
      <w:r w:rsidRPr="008A03F9">
        <w:rPr>
          <w:szCs w:val="24"/>
        </w:rPr>
        <w:t xml:space="preserve"> to two deposit accounts</w:t>
      </w:r>
      <w:r w:rsidR="003A413A">
        <w:rPr>
          <w:szCs w:val="24"/>
        </w:rPr>
        <w:t>,</w:t>
      </w:r>
      <w:r w:rsidRPr="008A03F9">
        <w:rPr>
          <w:szCs w:val="24"/>
        </w:rPr>
        <w:t xml:space="preserve"> namely, “Temporary Closing of Octopus Fishing” </w:t>
      </w:r>
      <w:r>
        <w:rPr>
          <w:szCs w:val="24"/>
        </w:rPr>
        <w:br/>
        <w:t>(</w:t>
      </w:r>
      <w:r w:rsidRPr="008A03F9">
        <w:rPr>
          <w:szCs w:val="24"/>
        </w:rPr>
        <w:t>Rs 9,407,500</w:t>
      </w:r>
      <w:r>
        <w:rPr>
          <w:szCs w:val="24"/>
        </w:rPr>
        <w:t>)</w:t>
      </w:r>
      <w:r w:rsidRPr="008A03F9">
        <w:rPr>
          <w:szCs w:val="24"/>
        </w:rPr>
        <w:t xml:space="preserve"> and “Winding up of </w:t>
      </w:r>
      <w:proofErr w:type="spellStart"/>
      <w:r w:rsidRPr="008A03F9">
        <w:rPr>
          <w:szCs w:val="24"/>
        </w:rPr>
        <w:t>Rodrigues</w:t>
      </w:r>
      <w:proofErr w:type="spellEnd"/>
      <w:r w:rsidRPr="008A03F9">
        <w:rPr>
          <w:szCs w:val="24"/>
        </w:rPr>
        <w:t xml:space="preserve"> Water Co</w:t>
      </w:r>
      <w:r>
        <w:rPr>
          <w:szCs w:val="24"/>
        </w:rPr>
        <w:t>mpany</w:t>
      </w:r>
      <w:r w:rsidRPr="008A03F9">
        <w:rPr>
          <w:szCs w:val="24"/>
        </w:rPr>
        <w:t xml:space="preserve"> Ltd” </w:t>
      </w:r>
      <w:r>
        <w:rPr>
          <w:szCs w:val="24"/>
        </w:rPr>
        <w:t>(</w:t>
      </w:r>
      <w:r w:rsidRPr="008A03F9">
        <w:rPr>
          <w:szCs w:val="24"/>
        </w:rPr>
        <w:t>Rs 3,029,333</w:t>
      </w:r>
      <w:r>
        <w:rPr>
          <w:szCs w:val="24"/>
        </w:rPr>
        <w:t>)</w:t>
      </w:r>
      <w:r w:rsidRPr="008A03F9">
        <w:rPr>
          <w:szCs w:val="24"/>
        </w:rPr>
        <w:t>, to meet expenditure not provided</w:t>
      </w:r>
      <w:r>
        <w:rPr>
          <w:szCs w:val="24"/>
        </w:rPr>
        <w:t xml:space="preserve"> for</w:t>
      </w:r>
      <w:r w:rsidRPr="008A03F9">
        <w:rPr>
          <w:szCs w:val="24"/>
        </w:rPr>
        <w:t xml:space="preserve"> in the </w:t>
      </w:r>
      <w:r w:rsidRPr="001D34E8">
        <w:rPr>
          <w:szCs w:val="24"/>
        </w:rPr>
        <w:t xml:space="preserve">Estimates. Over the years, the surplus standing to the credit </w:t>
      </w:r>
      <w:r w:rsidR="003A413A">
        <w:rPr>
          <w:szCs w:val="24"/>
        </w:rPr>
        <w:t xml:space="preserve">of the Fund </w:t>
      </w:r>
      <w:r w:rsidRPr="001D34E8">
        <w:rPr>
          <w:szCs w:val="24"/>
        </w:rPr>
        <w:t xml:space="preserve">has reached a balance of </w:t>
      </w:r>
      <w:r>
        <w:rPr>
          <w:szCs w:val="24"/>
        </w:rPr>
        <w:t xml:space="preserve"> </w:t>
      </w:r>
      <w:r w:rsidRPr="001D34E8">
        <w:rPr>
          <w:szCs w:val="24"/>
        </w:rPr>
        <w:t>Rs 14,805,180 as of 1 January 2013.</w:t>
      </w:r>
    </w:p>
    <w:p w:rsidR="0069208E" w:rsidRDefault="0069208E" w:rsidP="002B1576">
      <w:pPr>
        <w:jc w:val="both"/>
        <w:rPr>
          <w:szCs w:val="24"/>
        </w:rPr>
      </w:pPr>
    </w:p>
    <w:p w:rsidR="0000691A" w:rsidRPr="00344129" w:rsidRDefault="0000691A" w:rsidP="002B1576">
      <w:pPr>
        <w:numPr>
          <w:ilvl w:val="0"/>
          <w:numId w:val="4"/>
        </w:numPr>
        <w:spacing w:after="200"/>
        <w:jc w:val="both"/>
        <w:rPr>
          <w:szCs w:val="24"/>
        </w:rPr>
      </w:pPr>
      <w:r>
        <w:rPr>
          <w:szCs w:val="24"/>
        </w:rPr>
        <w:t>O</w:t>
      </w:r>
      <w:r w:rsidRPr="00344129">
        <w:rPr>
          <w:szCs w:val="24"/>
        </w:rPr>
        <w:t>n 20 November 2013</w:t>
      </w:r>
      <w:r w:rsidR="003A413A">
        <w:rPr>
          <w:szCs w:val="24"/>
        </w:rPr>
        <w:t>,</w:t>
      </w:r>
      <w:r w:rsidRPr="00344129">
        <w:rPr>
          <w:szCs w:val="24"/>
        </w:rPr>
        <w:t xml:space="preserve"> </w:t>
      </w:r>
      <w:r>
        <w:rPr>
          <w:szCs w:val="24"/>
        </w:rPr>
        <w:t xml:space="preserve">an </w:t>
      </w:r>
      <w:r w:rsidRPr="00344129">
        <w:rPr>
          <w:szCs w:val="24"/>
        </w:rPr>
        <w:t xml:space="preserve">advance of Rs 2,621,970 was made to the </w:t>
      </w:r>
      <w:r w:rsidR="00EE15AD">
        <w:rPr>
          <w:szCs w:val="24"/>
        </w:rPr>
        <w:t>RTMC</w:t>
      </w:r>
      <w:r>
        <w:rPr>
          <w:szCs w:val="24"/>
        </w:rPr>
        <w:t xml:space="preserve"> Ltd, a</w:t>
      </w:r>
      <w:r w:rsidRPr="00344129">
        <w:rPr>
          <w:szCs w:val="24"/>
        </w:rPr>
        <w:t xml:space="preserve"> private company where the </w:t>
      </w:r>
      <w:r>
        <w:rPr>
          <w:szCs w:val="24"/>
        </w:rPr>
        <w:t>RRA is the majority shareholder,</w:t>
      </w:r>
      <w:r w:rsidRPr="00344129">
        <w:rPr>
          <w:szCs w:val="24"/>
        </w:rPr>
        <w:t xml:space="preserve"> to meet its working capital. </w:t>
      </w:r>
      <w:r>
        <w:rPr>
          <w:szCs w:val="24"/>
        </w:rPr>
        <w:t xml:space="preserve">No provision has been made in either the Constitution or the RRA Act that advances can be made from the </w:t>
      </w:r>
      <w:proofErr w:type="spellStart"/>
      <w:r w:rsidRPr="00344129">
        <w:rPr>
          <w:szCs w:val="24"/>
        </w:rPr>
        <w:t>Rodrigues</w:t>
      </w:r>
      <w:proofErr w:type="spellEnd"/>
      <w:r w:rsidRPr="00344129">
        <w:rPr>
          <w:szCs w:val="24"/>
        </w:rPr>
        <w:t xml:space="preserve"> Consolidate</w:t>
      </w:r>
      <w:r>
        <w:rPr>
          <w:szCs w:val="24"/>
        </w:rPr>
        <w:t>d Fund. Such a</w:t>
      </w:r>
      <w:r w:rsidRPr="00344129">
        <w:rPr>
          <w:szCs w:val="24"/>
        </w:rPr>
        <w:t>dvances are normally granted</w:t>
      </w:r>
      <w:r w:rsidR="003A413A">
        <w:rPr>
          <w:szCs w:val="24"/>
        </w:rPr>
        <w:t>,</w:t>
      </w:r>
      <w:r w:rsidRPr="00344129">
        <w:rPr>
          <w:szCs w:val="24"/>
        </w:rPr>
        <w:t xml:space="preserve"> under the Finance and Audit Act</w:t>
      </w:r>
      <w:r w:rsidR="003A413A">
        <w:rPr>
          <w:szCs w:val="24"/>
        </w:rPr>
        <w:t>,</w:t>
      </w:r>
      <w:r w:rsidRPr="00344129">
        <w:rPr>
          <w:szCs w:val="24"/>
        </w:rPr>
        <w:t xml:space="preserve"> from the Consolidated Fund and not from the </w:t>
      </w:r>
      <w:proofErr w:type="spellStart"/>
      <w:r w:rsidRPr="00344129">
        <w:rPr>
          <w:szCs w:val="24"/>
        </w:rPr>
        <w:t>Rodrigues</w:t>
      </w:r>
      <w:proofErr w:type="spellEnd"/>
      <w:r w:rsidRPr="00344129">
        <w:rPr>
          <w:szCs w:val="24"/>
        </w:rPr>
        <w:t xml:space="preserve"> Consolidated Fund.</w:t>
      </w:r>
    </w:p>
    <w:p w:rsidR="0000691A" w:rsidRDefault="0000691A" w:rsidP="002B1576">
      <w:pPr>
        <w:numPr>
          <w:ilvl w:val="0"/>
          <w:numId w:val="4"/>
        </w:numPr>
        <w:spacing w:after="200"/>
        <w:jc w:val="both"/>
        <w:rPr>
          <w:szCs w:val="24"/>
        </w:rPr>
      </w:pPr>
      <w:r w:rsidRPr="00344129">
        <w:rPr>
          <w:szCs w:val="24"/>
        </w:rPr>
        <w:t xml:space="preserve">An amount of Rs 16,836 was transferred from the </w:t>
      </w:r>
      <w:proofErr w:type="spellStart"/>
      <w:r w:rsidRPr="00344129">
        <w:rPr>
          <w:szCs w:val="24"/>
        </w:rPr>
        <w:t>Rodrigues</w:t>
      </w:r>
      <w:proofErr w:type="spellEnd"/>
      <w:r w:rsidRPr="00344129">
        <w:rPr>
          <w:szCs w:val="24"/>
        </w:rPr>
        <w:t xml:space="preserve"> Consolidate</w:t>
      </w:r>
      <w:r>
        <w:rPr>
          <w:szCs w:val="24"/>
        </w:rPr>
        <w:t>d Fund</w:t>
      </w:r>
      <w:r w:rsidRPr="00344129">
        <w:rPr>
          <w:szCs w:val="24"/>
        </w:rPr>
        <w:t xml:space="preserve"> to a deposit account </w:t>
      </w:r>
      <w:r>
        <w:rPr>
          <w:szCs w:val="24"/>
        </w:rPr>
        <w:t>“</w:t>
      </w:r>
      <w:r w:rsidRPr="00344129">
        <w:rPr>
          <w:szCs w:val="24"/>
        </w:rPr>
        <w:t xml:space="preserve">Winding up of the </w:t>
      </w:r>
      <w:proofErr w:type="spellStart"/>
      <w:r w:rsidRPr="00344129">
        <w:rPr>
          <w:szCs w:val="24"/>
        </w:rPr>
        <w:t>R</w:t>
      </w:r>
      <w:r>
        <w:rPr>
          <w:szCs w:val="24"/>
        </w:rPr>
        <w:t>odrigues</w:t>
      </w:r>
      <w:proofErr w:type="spellEnd"/>
      <w:r>
        <w:rPr>
          <w:szCs w:val="24"/>
        </w:rPr>
        <w:t xml:space="preserve"> </w:t>
      </w:r>
      <w:r w:rsidRPr="00344129">
        <w:rPr>
          <w:szCs w:val="24"/>
        </w:rPr>
        <w:t>W</w:t>
      </w:r>
      <w:r>
        <w:rPr>
          <w:szCs w:val="24"/>
        </w:rPr>
        <w:t xml:space="preserve">ater </w:t>
      </w:r>
      <w:r w:rsidRPr="00344129">
        <w:rPr>
          <w:szCs w:val="24"/>
        </w:rPr>
        <w:t>C</w:t>
      </w:r>
      <w:r>
        <w:rPr>
          <w:szCs w:val="24"/>
        </w:rPr>
        <w:t xml:space="preserve">ompany”. </w:t>
      </w:r>
      <w:r w:rsidRPr="00344129">
        <w:rPr>
          <w:szCs w:val="24"/>
        </w:rPr>
        <w:t xml:space="preserve"> </w:t>
      </w:r>
      <w:r>
        <w:rPr>
          <w:szCs w:val="24"/>
        </w:rPr>
        <w:t xml:space="preserve">There is no legal framework to transfer fund from the </w:t>
      </w:r>
      <w:proofErr w:type="spellStart"/>
      <w:r w:rsidRPr="00344129">
        <w:rPr>
          <w:szCs w:val="24"/>
        </w:rPr>
        <w:t>Rodrigues</w:t>
      </w:r>
      <w:proofErr w:type="spellEnd"/>
      <w:r w:rsidRPr="00344129">
        <w:rPr>
          <w:szCs w:val="24"/>
        </w:rPr>
        <w:t xml:space="preserve"> Consolidate</w:t>
      </w:r>
      <w:r>
        <w:rPr>
          <w:szCs w:val="24"/>
        </w:rPr>
        <w:t>d Fund to any deposit account.</w:t>
      </w:r>
    </w:p>
    <w:p w:rsidR="0000691A" w:rsidRDefault="0000691A" w:rsidP="002B1576">
      <w:pPr>
        <w:jc w:val="both"/>
        <w:rPr>
          <w:szCs w:val="24"/>
        </w:rPr>
      </w:pPr>
    </w:p>
    <w:p w:rsidR="0000691A" w:rsidRPr="00CC449F" w:rsidRDefault="00CC449F" w:rsidP="002B1576">
      <w:pPr>
        <w:jc w:val="both"/>
        <w:rPr>
          <w:b/>
          <w:i/>
          <w:szCs w:val="24"/>
        </w:rPr>
      </w:pPr>
      <w:r w:rsidRPr="00CC449F">
        <w:rPr>
          <w:b/>
          <w:i/>
          <w:szCs w:val="24"/>
        </w:rPr>
        <w:t xml:space="preserve">2.4.1 </w:t>
      </w:r>
      <w:r w:rsidR="007B77C7">
        <w:rPr>
          <w:b/>
          <w:i/>
          <w:szCs w:val="24"/>
        </w:rPr>
        <w:t xml:space="preserve"> </w:t>
      </w:r>
      <w:r w:rsidR="0000691A" w:rsidRPr="00CC449F">
        <w:rPr>
          <w:b/>
          <w:i/>
          <w:szCs w:val="24"/>
        </w:rPr>
        <w:t xml:space="preserve">Abstract Account of Revenue and Expenditure of the </w:t>
      </w:r>
      <w:proofErr w:type="spellStart"/>
      <w:r w:rsidR="0000691A" w:rsidRPr="00CC449F">
        <w:rPr>
          <w:b/>
          <w:i/>
          <w:szCs w:val="24"/>
        </w:rPr>
        <w:t>Rodrigues</w:t>
      </w:r>
      <w:proofErr w:type="spellEnd"/>
      <w:r w:rsidR="0000691A" w:rsidRPr="00CC449F">
        <w:rPr>
          <w:b/>
          <w:i/>
          <w:szCs w:val="24"/>
        </w:rPr>
        <w:t xml:space="preserve"> Consolidated Fund</w:t>
      </w:r>
    </w:p>
    <w:p w:rsidR="0000691A" w:rsidRDefault="0000691A" w:rsidP="002B1576">
      <w:pPr>
        <w:jc w:val="both"/>
        <w:rPr>
          <w:b/>
          <w:szCs w:val="24"/>
        </w:rPr>
      </w:pPr>
    </w:p>
    <w:p w:rsidR="00DF0496" w:rsidRPr="00344129" w:rsidRDefault="00DF0496" w:rsidP="002B1576">
      <w:pPr>
        <w:jc w:val="both"/>
        <w:rPr>
          <w:b/>
          <w:szCs w:val="24"/>
        </w:rPr>
      </w:pPr>
    </w:p>
    <w:p w:rsidR="0000691A" w:rsidRPr="0024127B" w:rsidRDefault="0000691A" w:rsidP="002B1576">
      <w:pPr>
        <w:jc w:val="both"/>
        <w:rPr>
          <w:i/>
          <w:szCs w:val="24"/>
        </w:rPr>
      </w:pPr>
      <w:r w:rsidRPr="0024127B">
        <w:rPr>
          <w:i/>
          <w:szCs w:val="24"/>
        </w:rPr>
        <w:t>Revenue</w:t>
      </w:r>
    </w:p>
    <w:p w:rsidR="0000691A" w:rsidRPr="008B14B3" w:rsidRDefault="0000691A" w:rsidP="002B1576">
      <w:pPr>
        <w:jc w:val="both"/>
        <w:rPr>
          <w:i/>
          <w:szCs w:val="24"/>
        </w:rPr>
      </w:pPr>
    </w:p>
    <w:p w:rsidR="0000691A" w:rsidRDefault="0000691A" w:rsidP="002B1576">
      <w:pPr>
        <w:jc w:val="both"/>
        <w:rPr>
          <w:szCs w:val="24"/>
        </w:rPr>
      </w:pPr>
      <w:r>
        <w:rPr>
          <w:szCs w:val="24"/>
        </w:rPr>
        <w:t xml:space="preserve">Revenue collected in </w:t>
      </w:r>
      <w:proofErr w:type="spellStart"/>
      <w:r>
        <w:rPr>
          <w:szCs w:val="24"/>
        </w:rPr>
        <w:t>Rodrigues</w:t>
      </w:r>
      <w:proofErr w:type="spellEnd"/>
      <w:r>
        <w:rPr>
          <w:szCs w:val="24"/>
        </w:rPr>
        <w:t xml:space="preserve"> during 2013 amounting to Rs </w:t>
      </w:r>
      <w:r w:rsidRPr="00BD3A98">
        <w:rPr>
          <w:szCs w:val="24"/>
        </w:rPr>
        <w:t>30,142,250</w:t>
      </w:r>
      <w:r>
        <w:rPr>
          <w:szCs w:val="24"/>
        </w:rPr>
        <w:t>,</w:t>
      </w:r>
      <w:r>
        <w:rPr>
          <w:b/>
          <w:szCs w:val="24"/>
        </w:rPr>
        <w:t xml:space="preserve"> </w:t>
      </w:r>
      <w:r>
        <w:rPr>
          <w:szCs w:val="24"/>
        </w:rPr>
        <w:t xml:space="preserve">was credited to </w:t>
      </w:r>
      <w:proofErr w:type="spellStart"/>
      <w:r w:rsidRPr="00344129">
        <w:rPr>
          <w:szCs w:val="24"/>
        </w:rPr>
        <w:t>Rodrigues</w:t>
      </w:r>
      <w:proofErr w:type="spellEnd"/>
      <w:r w:rsidRPr="00344129">
        <w:rPr>
          <w:szCs w:val="24"/>
        </w:rPr>
        <w:t xml:space="preserve"> Consolidate</w:t>
      </w:r>
      <w:r>
        <w:rPr>
          <w:szCs w:val="24"/>
        </w:rPr>
        <w:t xml:space="preserve">d Fund. </w:t>
      </w:r>
    </w:p>
    <w:p w:rsidR="00DF0496" w:rsidRDefault="00DF0496" w:rsidP="002B1576">
      <w:pPr>
        <w:jc w:val="both"/>
        <w:rPr>
          <w:szCs w:val="24"/>
        </w:rPr>
      </w:pPr>
    </w:p>
    <w:p w:rsidR="0089293B" w:rsidRDefault="0000691A" w:rsidP="002B1576">
      <w:pPr>
        <w:jc w:val="both"/>
        <w:rPr>
          <w:szCs w:val="24"/>
        </w:rPr>
      </w:pPr>
      <w:r>
        <w:rPr>
          <w:szCs w:val="24"/>
        </w:rPr>
        <w:t>The revenue figures of the p</w:t>
      </w:r>
      <w:r w:rsidRPr="00344129">
        <w:rPr>
          <w:szCs w:val="24"/>
        </w:rPr>
        <w:t>ast three fiscal years</w:t>
      </w:r>
      <w:r w:rsidR="00AE0DDA">
        <w:rPr>
          <w:szCs w:val="24"/>
        </w:rPr>
        <w:t xml:space="preserve"> are stated in Table 3.</w:t>
      </w:r>
    </w:p>
    <w:p w:rsidR="0089293B" w:rsidRDefault="0089293B" w:rsidP="002B1576">
      <w:pPr>
        <w:spacing w:after="200"/>
        <w:rPr>
          <w:szCs w:val="24"/>
        </w:rPr>
      </w:pPr>
      <w:r>
        <w:rPr>
          <w:szCs w:val="24"/>
        </w:rPr>
        <w:br w:type="page"/>
      </w:r>
    </w:p>
    <w:p w:rsidR="0000691A" w:rsidRDefault="00AE0DDA" w:rsidP="002B1576">
      <w:pPr>
        <w:jc w:val="center"/>
        <w:rPr>
          <w:i/>
          <w:szCs w:val="24"/>
        </w:rPr>
      </w:pPr>
      <w:r>
        <w:rPr>
          <w:i/>
          <w:szCs w:val="24"/>
        </w:rPr>
        <w:lastRenderedPageBreak/>
        <w:t xml:space="preserve">Table 3  </w:t>
      </w:r>
      <w:r w:rsidR="0000691A" w:rsidRPr="00344129">
        <w:rPr>
          <w:i/>
          <w:szCs w:val="24"/>
        </w:rPr>
        <w:t xml:space="preserve">Revenue collected by RRA during the </w:t>
      </w:r>
      <w:r w:rsidR="0000691A">
        <w:rPr>
          <w:i/>
          <w:szCs w:val="24"/>
        </w:rPr>
        <w:t>p</w:t>
      </w:r>
      <w:r w:rsidR="0000691A" w:rsidRPr="00344129">
        <w:rPr>
          <w:i/>
          <w:szCs w:val="24"/>
        </w:rPr>
        <w:t>ast three fiscal years</w:t>
      </w:r>
    </w:p>
    <w:p w:rsidR="00DF0496" w:rsidRDefault="00DF0496" w:rsidP="002B1576">
      <w:pPr>
        <w:jc w:val="center"/>
        <w:rPr>
          <w:i/>
          <w:szCs w:val="24"/>
        </w:rPr>
      </w:pPr>
    </w:p>
    <w:p w:rsidR="00DF0496" w:rsidRPr="00344129" w:rsidRDefault="00DF0496" w:rsidP="002B1576">
      <w:pPr>
        <w:pBdr>
          <w:top w:val="single" w:sz="4" w:space="1" w:color="auto"/>
        </w:pBdr>
        <w:jc w:val="center"/>
        <w:rPr>
          <w:i/>
          <w:szCs w:val="24"/>
        </w:rPr>
      </w:pPr>
    </w:p>
    <w:tbl>
      <w:tblPr>
        <w:tblW w:w="0" w:type="auto"/>
        <w:jc w:val="center"/>
        <w:tblInd w:w="-247" w:type="dxa"/>
        <w:tblLook w:val="04A0"/>
      </w:tblPr>
      <w:tblGrid>
        <w:gridCol w:w="2788"/>
        <w:gridCol w:w="1631"/>
        <w:gridCol w:w="1705"/>
        <w:gridCol w:w="1650"/>
      </w:tblGrid>
      <w:tr w:rsidR="0000691A" w:rsidRPr="00344129" w:rsidTr="00DF0496">
        <w:trPr>
          <w:trHeight w:val="675"/>
          <w:jc w:val="center"/>
        </w:trPr>
        <w:tc>
          <w:tcPr>
            <w:tcW w:w="2788" w:type="dxa"/>
          </w:tcPr>
          <w:p w:rsidR="0000691A" w:rsidRDefault="0000691A" w:rsidP="002B1576">
            <w:pPr>
              <w:jc w:val="both"/>
              <w:rPr>
                <w:b/>
                <w:szCs w:val="24"/>
              </w:rPr>
            </w:pPr>
            <w:r w:rsidRPr="00344129">
              <w:rPr>
                <w:b/>
                <w:szCs w:val="24"/>
              </w:rPr>
              <w:t>Item</w:t>
            </w:r>
          </w:p>
          <w:p w:rsidR="0000691A" w:rsidRPr="00344129" w:rsidRDefault="0000691A" w:rsidP="002B1576">
            <w:pPr>
              <w:jc w:val="both"/>
              <w:rPr>
                <w:b/>
                <w:szCs w:val="24"/>
              </w:rPr>
            </w:pPr>
          </w:p>
        </w:tc>
        <w:tc>
          <w:tcPr>
            <w:tcW w:w="1631" w:type="dxa"/>
          </w:tcPr>
          <w:p w:rsidR="0000691A" w:rsidRPr="00344129" w:rsidRDefault="0000691A" w:rsidP="002B1576">
            <w:pPr>
              <w:jc w:val="center"/>
              <w:rPr>
                <w:b/>
                <w:szCs w:val="24"/>
              </w:rPr>
            </w:pPr>
            <w:r w:rsidRPr="00344129">
              <w:rPr>
                <w:b/>
                <w:szCs w:val="24"/>
              </w:rPr>
              <w:t>2013</w:t>
            </w:r>
          </w:p>
          <w:p w:rsidR="0000691A" w:rsidRPr="00344129" w:rsidRDefault="0000691A" w:rsidP="002B1576">
            <w:pPr>
              <w:jc w:val="center"/>
              <w:rPr>
                <w:b/>
                <w:szCs w:val="24"/>
              </w:rPr>
            </w:pPr>
            <w:r w:rsidRPr="00344129">
              <w:rPr>
                <w:b/>
                <w:szCs w:val="24"/>
              </w:rPr>
              <w:t>Rs</w:t>
            </w:r>
          </w:p>
        </w:tc>
        <w:tc>
          <w:tcPr>
            <w:tcW w:w="1705" w:type="dxa"/>
          </w:tcPr>
          <w:p w:rsidR="0000691A" w:rsidRPr="00344129" w:rsidRDefault="0000691A" w:rsidP="002B1576">
            <w:pPr>
              <w:jc w:val="center"/>
              <w:rPr>
                <w:b/>
                <w:szCs w:val="24"/>
              </w:rPr>
            </w:pPr>
            <w:r w:rsidRPr="00344129">
              <w:rPr>
                <w:b/>
                <w:szCs w:val="24"/>
              </w:rPr>
              <w:t>2012</w:t>
            </w:r>
          </w:p>
          <w:p w:rsidR="0000691A" w:rsidRPr="00344129" w:rsidRDefault="0000691A" w:rsidP="002B1576">
            <w:pPr>
              <w:jc w:val="center"/>
              <w:rPr>
                <w:b/>
                <w:szCs w:val="24"/>
              </w:rPr>
            </w:pPr>
            <w:r w:rsidRPr="00344129">
              <w:rPr>
                <w:b/>
                <w:szCs w:val="24"/>
              </w:rPr>
              <w:t>Rs</w:t>
            </w:r>
          </w:p>
        </w:tc>
        <w:tc>
          <w:tcPr>
            <w:tcW w:w="1650" w:type="dxa"/>
          </w:tcPr>
          <w:p w:rsidR="0000691A" w:rsidRPr="00344129" w:rsidRDefault="0000691A" w:rsidP="002B1576">
            <w:pPr>
              <w:jc w:val="center"/>
              <w:rPr>
                <w:b/>
                <w:szCs w:val="24"/>
              </w:rPr>
            </w:pPr>
            <w:r w:rsidRPr="00344129">
              <w:rPr>
                <w:b/>
                <w:szCs w:val="24"/>
              </w:rPr>
              <w:t>2011</w:t>
            </w:r>
          </w:p>
          <w:p w:rsidR="0000691A" w:rsidRPr="00344129" w:rsidRDefault="0000691A" w:rsidP="002B1576">
            <w:pPr>
              <w:jc w:val="center"/>
              <w:rPr>
                <w:b/>
                <w:szCs w:val="24"/>
              </w:rPr>
            </w:pPr>
            <w:r w:rsidRPr="00344129">
              <w:rPr>
                <w:b/>
                <w:szCs w:val="24"/>
              </w:rPr>
              <w:t>Rs</w:t>
            </w:r>
          </w:p>
        </w:tc>
      </w:tr>
      <w:tr w:rsidR="0000691A" w:rsidRPr="00344129" w:rsidTr="00DF0496">
        <w:trPr>
          <w:jc w:val="center"/>
        </w:trPr>
        <w:tc>
          <w:tcPr>
            <w:tcW w:w="2788" w:type="dxa"/>
          </w:tcPr>
          <w:p w:rsidR="0000691A" w:rsidRPr="00344129" w:rsidRDefault="0000691A" w:rsidP="002B1576">
            <w:pPr>
              <w:jc w:val="both"/>
              <w:rPr>
                <w:szCs w:val="24"/>
              </w:rPr>
            </w:pPr>
            <w:r>
              <w:rPr>
                <w:szCs w:val="24"/>
              </w:rPr>
              <w:t>Taxes ( licences, fees etc)</w:t>
            </w:r>
          </w:p>
        </w:tc>
        <w:tc>
          <w:tcPr>
            <w:tcW w:w="1631" w:type="dxa"/>
          </w:tcPr>
          <w:p w:rsidR="0000691A" w:rsidRPr="00344129" w:rsidRDefault="0000691A" w:rsidP="002B1576">
            <w:pPr>
              <w:spacing w:after="120"/>
              <w:ind w:right="167"/>
              <w:jc w:val="right"/>
              <w:rPr>
                <w:szCs w:val="24"/>
              </w:rPr>
            </w:pPr>
            <w:r w:rsidRPr="00344129">
              <w:rPr>
                <w:szCs w:val="24"/>
              </w:rPr>
              <w:t>2,</w:t>
            </w:r>
            <w:r>
              <w:rPr>
                <w:szCs w:val="24"/>
              </w:rPr>
              <w:t>237</w:t>
            </w:r>
            <w:r w:rsidRPr="00344129">
              <w:rPr>
                <w:szCs w:val="24"/>
              </w:rPr>
              <w:t>,</w:t>
            </w:r>
            <w:r>
              <w:rPr>
                <w:szCs w:val="24"/>
              </w:rPr>
              <w:t>875</w:t>
            </w:r>
          </w:p>
        </w:tc>
        <w:tc>
          <w:tcPr>
            <w:tcW w:w="1705" w:type="dxa"/>
          </w:tcPr>
          <w:p w:rsidR="0000691A" w:rsidRPr="00344129" w:rsidRDefault="0000691A" w:rsidP="002B1576">
            <w:pPr>
              <w:spacing w:after="120"/>
              <w:ind w:right="162"/>
              <w:jc w:val="right"/>
              <w:rPr>
                <w:szCs w:val="24"/>
              </w:rPr>
            </w:pPr>
            <w:r w:rsidRPr="00344129">
              <w:rPr>
                <w:szCs w:val="24"/>
              </w:rPr>
              <w:t>2,263,250</w:t>
            </w:r>
          </w:p>
        </w:tc>
        <w:tc>
          <w:tcPr>
            <w:tcW w:w="1650" w:type="dxa"/>
          </w:tcPr>
          <w:p w:rsidR="0000691A" w:rsidRPr="00344129" w:rsidRDefault="0000691A" w:rsidP="002B1576">
            <w:pPr>
              <w:spacing w:after="120"/>
              <w:ind w:right="192"/>
              <w:jc w:val="right"/>
              <w:rPr>
                <w:szCs w:val="24"/>
              </w:rPr>
            </w:pPr>
            <w:r w:rsidRPr="00344129">
              <w:rPr>
                <w:szCs w:val="24"/>
              </w:rPr>
              <w:t>2,542,419</w:t>
            </w:r>
          </w:p>
        </w:tc>
      </w:tr>
      <w:tr w:rsidR="0000691A" w:rsidRPr="00344129" w:rsidTr="00DF0496">
        <w:trPr>
          <w:jc w:val="center"/>
        </w:trPr>
        <w:tc>
          <w:tcPr>
            <w:tcW w:w="2788" w:type="dxa"/>
          </w:tcPr>
          <w:p w:rsidR="0000691A" w:rsidRPr="00344129" w:rsidRDefault="0000691A" w:rsidP="002B1576">
            <w:pPr>
              <w:spacing w:after="120"/>
              <w:jc w:val="both"/>
              <w:rPr>
                <w:szCs w:val="24"/>
              </w:rPr>
            </w:pPr>
            <w:r w:rsidRPr="00344129">
              <w:rPr>
                <w:szCs w:val="24"/>
              </w:rPr>
              <w:t xml:space="preserve">Other </w:t>
            </w:r>
            <w:r>
              <w:rPr>
                <w:szCs w:val="24"/>
              </w:rPr>
              <w:t>s</w:t>
            </w:r>
            <w:r w:rsidRPr="00344129">
              <w:rPr>
                <w:szCs w:val="24"/>
              </w:rPr>
              <w:t xml:space="preserve">ocial </w:t>
            </w:r>
            <w:r>
              <w:rPr>
                <w:szCs w:val="24"/>
              </w:rPr>
              <w:t>c</w:t>
            </w:r>
            <w:r w:rsidRPr="00344129">
              <w:rPr>
                <w:szCs w:val="24"/>
              </w:rPr>
              <w:t>ontributions</w:t>
            </w:r>
          </w:p>
        </w:tc>
        <w:tc>
          <w:tcPr>
            <w:tcW w:w="1631" w:type="dxa"/>
          </w:tcPr>
          <w:p w:rsidR="0000691A" w:rsidRPr="00344129" w:rsidRDefault="0000691A" w:rsidP="002B1576">
            <w:pPr>
              <w:spacing w:after="120"/>
              <w:ind w:right="167"/>
              <w:jc w:val="right"/>
              <w:rPr>
                <w:szCs w:val="24"/>
              </w:rPr>
            </w:pPr>
            <w:r w:rsidRPr="00344129">
              <w:rPr>
                <w:szCs w:val="24"/>
              </w:rPr>
              <w:t>618,705</w:t>
            </w:r>
          </w:p>
        </w:tc>
        <w:tc>
          <w:tcPr>
            <w:tcW w:w="1705" w:type="dxa"/>
          </w:tcPr>
          <w:p w:rsidR="0000691A" w:rsidRPr="00344129" w:rsidRDefault="0000691A" w:rsidP="002B1576">
            <w:pPr>
              <w:spacing w:after="120"/>
              <w:ind w:right="162"/>
              <w:jc w:val="right"/>
              <w:rPr>
                <w:szCs w:val="24"/>
              </w:rPr>
            </w:pPr>
            <w:r w:rsidRPr="00344129">
              <w:rPr>
                <w:szCs w:val="24"/>
              </w:rPr>
              <w:t>181,869</w:t>
            </w:r>
          </w:p>
        </w:tc>
        <w:tc>
          <w:tcPr>
            <w:tcW w:w="1650" w:type="dxa"/>
          </w:tcPr>
          <w:p w:rsidR="0000691A" w:rsidRPr="00344129" w:rsidRDefault="0000691A" w:rsidP="002B1576">
            <w:pPr>
              <w:spacing w:after="120"/>
              <w:ind w:right="192"/>
              <w:jc w:val="right"/>
              <w:rPr>
                <w:szCs w:val="24"/>
              </w:rPr>
            </w:pPr>
            <w:r w:rsidRPr="00344129">
              <w:rPr>
                <w:szCs w:val="24"/>
              </w:rPr>
              <w:t>537,497</w:t>
            </w:r>
          </w:p>
        </w:tc>
      </w:tr>
      <w:tr w:rsidR="0000691A" w:rsidRPr="00344129" w:rsidTr="00DF0496">
        <w:trPr>
          <w:jc w:val="center"/>
        </w:trPr>
        <w:tc>
          <w:tcPr>
            <w:tcW w:w="2788" w:type="dxa"/>
          </w:tcPr>
          <w:p w:rsidR="0000691A" w:rsidRPr="00344129" w:rsidRDefault="0000691A" w:rsidP="002B1576">
            <w:pPr>
              <w:spacing w:after="120"/>
              <w:jc w:val="both"/>
              <w:rPr>
                <w:szCs w:val="24"/>
              </w:rPr>
            </w:pPr>
            <w:r>
              <w:rPr>
                <w:szCs w:val="24"/>
              </w:rPr>
              <w:t>Other revenue</w:t>
            </w:r>
          </w:p>
        </w:tc>
        <w:tc>
          <w:tcPr>
            <w:tcW w:w="1631" w:type="dxa"/>
          </w:tcPr>
          <w:p w:rsidR="0000691A" w:rsidRPr="00344129" w:rsidRDefault="0000691A" w:rsidP="002B1576">
            <w:pPr>
              <w:spacing w:after="120"/>
              <w:ind w:right="167"/>
              <w:jc w:val="right"/>
              <w:rPr>
                <w:szCs w:val="24"/>
              </w:rPr>
            </w:pPr>
            <w:r>
              <w:rPr>
                <w:szCs w:val="24"/>
              </w:rPr>
              <w:t>27,285,67</w:t>
            </w:r>
            <w:r w:rsidR="00725B15">
              <w:rPr>
                <w:szCs w:val="24"/>
              </w:rPr>
              <w:t>0</w:t>
            </w:r>
          </w:p>
        </w:tc>
        <w:tc>
          <w:tcPr>
            <w:tcW w:w="1705" w:type="dxa"/>
          </w:tcPr>
          <w:p w:rsidR="0000691A" w:rsidRPr="00344129" w:rsidRDefault="0000691A" w:rsidP="002B1576">
            <w:pPr>
              <w:spacing w:after="120"/>
              <w:ind w:right="162"/>
              <w:jc w:val="right"/>
              <w:rPr>
                <w:szCs w:val="24"/>
              </w:rPr>
            </w:pPr>
            <w:r w:rsidRPr="00344129">
              <w:rPr>
                <w:szCs w:val="24"/>
              </w:rPr>
              <w:t>24,653,891</w:t>
            </w:r>
          </w:p>
        </w:tc>
        <w:tc>
          <w:tcPr>
            <w:tcW w:w="1650" w:type="dxa"/>
          </w:tcPr>
          <w:p w:rsidR="0000691A" w:rsidRPr="00344129" w:rsidRDefault="0000691A" w:rsidP="002B1576">
            <w:pPr>
              <w:spacing w:after="120"/>
              <w:ind w:right="192"/>
              <w:jc w:val="right"/>
              <w:rPr>
                <w:szCs w:val="24"/>
              </w:rPr>
            </w:pPr>
            <w:r w:rsidRPr="00344129">
              <w:rPr>
                <w:szCs w:val="24"/>
              </w:rPr>
              <w:t>22,473,915</w:t>
            </w:r>
          </w:p>
        </w:tc>
      </w:tr>
      <w:tr w:rsidR="0000691A" w:rsidRPr="00344129" w:rsidTr="00DF0496">
        <w:trPr>
          <w:jc w:val="center"/>
        </w:trPr>
        <w:tc>
          <w:tcPr>
            <w:tcW w:w="2788" w:type="dxa"/>
          </w:tcPr>
          <w:p w:rsidR="0000691A" w:rsidRPr="00344129" w:rsidRDefault="0000691A" w:rsidP="002B1576">
            <w:pPr>
              <w:spacing w:after="120"/>
              <w:jc w:val="both"/>
              <w:rPr>
                <w:szCs w:val="24"/>
              </w:rPr>
            </w:pPr>
            <w:r w:rsidRPr="00344129">
              <w:rPr>
                <w:szCs w:val="24"/>
              </w:rPr>
              <w:t>Total</w:t>
            </w:r>
          </w:p>
        </w:tc>
        <w:tc>
          <w:tcPr>
            <w:tcW w:w="1631" w:type="dxa"/>
          </w:tcPr>
          <w:p w:rsidR="0000691A" w:rsidRPr="00344129" w:rsidRDefault="0000691A" w:rsidP="002B1576">
            <w:pPr>
              <w:spacing w:after="120"/>
              <w:ind w:right="167"/>
              <w:jc w:val="right"/>
              <w:rPr>
                <w:b/>
                <w:szCs w:val="24"/>
              </w:rPr>
            </w:pPr>
            <w:r w:rsidRPr="00344129">
              <w:rPr>
                <w:b/>
                <w:szCs w:val="24"/>
              </w:rPr>
              <w:t>30,142,250</w:t>
            </w:r>
          </w:p>
        </w:tc>
        <w:tc>
          <w:tcPr>
            <w:tcW w:w="1705" w:type="dxa"/>
          </w:tcPr>
          <w:p w:rsidR="0000691A" w:rsidRPr="00344129" w:rsidRDefault="0000691A" w:rsidP="002B1576">
            <w:pPr>
              <w:spacing w:after="120"/>
              <w:ind w:right="162"/>
              <w:jc w:val="right"/>
              <w:rPr>
                <w:b/>
                <w:szCs w:val="24"/>
              </w:rPr>
            </w:pPr>
            <w:r w:rsidRPr="00344129">
              <w:rPr>
                <w:b/>
                <w:szCs w:val="24"/>
              </w:rPr>
              <w:t>27,099,010</w:t>
            </w:r>
          </w:p>
        </w:tc>
        <w:tc>
          <w:tcPr>
            <w:tcW w:w="1650" w:type="dxa"/>
          </w:tcPr>
          <w:p w:rsidR="0000691A" w:rsidRPr="00344129" w:rsidRDefault="0000691A" w:rsidP="002B1576">
            <w:pPr>
              <w:spacing w:after="120"/>
              <w:ind w:right="192"/>
              <w:jc w:val="right"/>
              <w:rPr>
                <w:b/>
                <w:szCs w:val="24"/>
              </w:rPr>
            </w:pPr>
            <w:r w:rsidRPr="00344129">
              <w:rPr>
                <w:b/>
                <w:szCs w:val="24"/>
              </w:rPr>
              <w:t>25,553,831</w:t>
            </w:r>
          </w:p>
        </w:tc>
      </w:tr>
    </w:tbl>
    <w:p w:rsidR="0000691A" w:rsidRDefault="0000691A" w:rsidP="002B1576">
      <w:pPr>
        <w:pBdr>
          <w:bottom w:val="single" w:sz="4" w:space="1" w:color="auto"/>
        </w:pBdr>
        <w:jc w:val="both"/>
        <w:rPr>
          <w:szCs w:val="24"/>
        </w:rPr>
      </w:pPr>
    </w:p>
    <w:p w:rsidR="00DF0496" w:rsidRDefault="00DF0496" w:rsidP="002B1576">
      <w:pPr>
        <w:jc w:val="both"/>
        <w:rPr>
          <w:i/>
          <w:szCs w:val="24"/>
        </w:rPr>
      </w:pPr>
    </w:p>
    <w:p w:rsidR="00DF0496" w:rsidRDefault="00DF0496" w:rsidP="002B1576">
      <w:pPr>
        <w:jc w:val="both"/>
        <w:rPr>
          <w:i/>
          <w:szCs w:val="24"/>
        </w:rPr>
      </w:pPr>
    </w:p>
    <w:p w:rsidR="0000691A" w:rsidRPr="0024127B" w:rsidRDefault="0000691A" w:rsidP="002B1576">
      <w:pPr>
        <w:jc w:val="both"/>
        <w:rPr>
          <w:i/>
          <w:szCs w:val="24"/>
        </w:rPr>
      </w:pPr>
      <w:r w:rsidRPr="0024127B">
        <w:rPr>
          <w:i/>
          <w:szCs w:val="24"/>
        </w:rPr>
        <w:t>Other Revenue – Rs 27,285,67</w:t>
      </w:r>
      <w:r w:rsidR="00A15EB2">
        <w:rPr>
          <w:i/>
          <w:szCs w:val="24"/>
        </w:rPr>
        <w:t>0</w:t>
      </w:r>
    </w:p>
    <w:p w:rsidR="00DF0496" w:rsidRPr="00287640" w:rsidRDefault="00DF0496" w:rsidP="002B1576">
      <w:pPr>
        <w:jc w:val="both"/>
        <w:rPr>
          <w:i/>
          <w:szCs w:val="24"/>
        </w:rPr>
      </w:pPr>
    </w:p>
    <w:p w:rsidR="0000691A" w:rsidRDefault="0000691A" w:rsidP="002B1576">
      <w:pPr>
        <w:spacing w:after="200"/>
        <w:jc w:val="both"/>
        <w:rPr>
          <w:szCs w:val="24"/>
        </w:rPr>
      </w:pPr>
      <w:r w:rsidRPr="0024127B">
        <w:rPr>
          <w:szCs w:val="24"/>
          <w:u w:val="single"/>
        </w:rPr>
        <w:t xml:space="preserve">Overpayments made in </w:t>
      </w:r>
      <w:r w:rsidR="003A413A" w:rsidRPr="0024127B">
        <w:rPr>
          <w:szCs w:val="24"/>
          <w:u w:val="single"/>
        </w:rPr>
        <w:t>P</w:t>
      </w:r>
      <w:r w:rsidRPr="0024127B">
        <w:rPr>
          <w:szCs w:val="24"/>
          <w:u w:val="single"/>
        </w:rPr>
        <w:t xml:space="preserve">revious </w:t>
      </w:r>
      <w:r w:rsidR="003A413A" w:rsidRPr="0024127B">
        <w:rPr>
          <w:szCs w:val="24"/>
          <w:u w:val="single"/>
        </w:rPr>
        <w:t>Y</w:t>
      </w:r>
      <w:r w:rsidRPr="0024127B">
        <w:rPr>
          <w:szCs w:val="24"/>
          <w:u w:val="single"/>
        </w:rPr>
        <w:t>ears</w:t>
      </w:r>
      <w:r w:rsidR="00725B15" w:rsidRPr="0024127B">
        <w:rPr>
          <w:szCs w:val="24"/>
          <w:u w:val="single"/>
        </w:rPr>
        <w:t>:</w:t>
      </w:r>
      <w:r w:rsidRPr="0024127B">
        <w:rPr>
          <w:szCs w:val="24"/>
          <w:u w:val="single"/>
        </w:rPr>
        <w:t xml:space="preserve"> Rs 473,297</w:t>
      </w:r>
      <w:r w:rsidR="0024127B" w:rsidRPr="0024127B">
        <w:rPr>
          <w:szCs w:val="24"/>
          <w:u w:val="single"/>
        </w:rPr>
        <w:t>.</w:t>
      </w:r>
      <w:r w:rsidR="002F214A" w:rsidRPr="002F214A">
        <w:rPr>
          <w:szCs w:val="24"/>
        </w:rPr>
        <w:t xml:space="preserve"> </w:t>
      </w:r>
      <w:r w:rsidRPr="00344129">
        <w:rPr>
          <w:szCs w:val="24"/>
        </w:rPr>
        <w:t>Th</w:t>
      </w:r>
      <w:r>
        <w:rPr>
          <w:szCs w:val="24"/>
        </w:rPr>
        <w:t>e</w:t>
      </w:r>
      <w:r w:rsidRPr="00344129">
        <w:rPr>
          <w:szCs w:val="24"/>
        </w:rPr>
        <w:t xml:space="preserve"> amount</w:t>
      </w:r>
      <w:r>
        <w:rPr>
          <w:szCs w:val="24"/>
        </w:rPr>
        <w:t xml:space="preserve"> of Rs 473,297</w:t>
      </w:r>
      <w:r w:rsidRPr="00344129">
        <w:rPr>
          <w:szCs w:val="24"/>
        </w:rPr>
        <w:t xml:space="preserve"> represents overpayment ma</w:t>
      </w:r>
      <w:r>
        <w:rPr>
          <w:szCs w:val="24"/>
        </w:rPr>
        <w:t>de to Officers</w:t>
      </w:r>
      <w:r w:rsidRPr="00344129">
        <w:rPr>
          <w:szCs w:val="24"/>
        </w:rPr>
        <w:t xml:space="preserve"> </w:t>
      </w:r>
      <w:r>
        <w:rPr>
          <w:szCs w:val="24"/>
        </w:rPr>
        <w:t xml:space="preserve">prior to 2012 and </w:t>
      </w:r>
      <w:r w:rsidRPr="00344129">
        <w:rPr>
          <w:szCs w:val="24"/>
        </w:rPr>
        <w:t>re</w:t>
      </w:r>
      <w:r>
        <w:rPr>
          <w:szCs w:val="24"/>
        </w:rPr>
        <w:t xml:space="preserve">couped during 2013. The overpayments were due to </w:t>
      </w:r>
      <w:r w:rsidRPr="00344129">
        <w:rPr>
          <w:szCs w:val="24"/>
        </w:rPr>
        <w:t xml:space="preserve">inadequate control over </w:t>
      </w:r>
      <w:r>
        <w:rPr>
          <w:szCs w:val="24"/>
        </w:rPr>
        <w:t>payment of salaries</w:t>
      </w:r>
      <w:r w:rsidRPr="00344129">
        <w:rPr>
          <w:szCs w:val="24"/>
        </w:rPr>
        <w:t xml:space="preserve"> and travelling.</w:t>
      </w:r>
      <w:r>
        <w:rPr>
          <w:szCs w:val="24"/>
        </w:rPr>
        <w:t xml:space="preserve"> </w:t>
      </w:r>
    </w:p>
    <w:p w:rsidR="0000691A" w:rsidRDefault="0000691A" w:rsidP="002B1576">
      <w:pPr>
        <w:spacing w:after="200"/>
        <w:jc w:val="both"/>
        <w:rPr>
          <w:szCs w:val="24"/>
        </w:rPr>
      </w:pPr>
      <w:r w:rsidRPr="0024127B">
        <w:rPr>
          <w:szCs w:val="24"/>
          <w:u w:val="single"/>
        </w:rPr>
        <w:t xml:space="preserve">Fishing </w:t>
      </w:r>
      <w:r w:rsidR="003A413A" w:rsidRPr="0024127B">
        <w:rPr>
          <w:szCs w:val="24"/>
          <w:u w:val="single"/>
        </w:rPr>
        <w:t>V</w:t>
      </w:r>
      <w:r w:rsidRPr="0024127B">
        <w:rPr>
          <w:szCs w:val="24"/>
          <w:u w:val="single"/>
        </w:rPr>
        <w:t xml:space="preserve">essel </w:t>
      </w:r>
      <w:r w:rsidR="003A413A" w:rsidRPr="0024127B">
        <w:rPr>
          <w:szCs w:val="24"/>
          <w:u w:val="single"/>
        </w:rPr>
        <w:t>L</w:t>
      </w:r>
      <w:r w:rsidRPr="0024127B">
        <w:rPr>
          <w:szCs w:val="24"/>
          <w:u w:val="single"/>
        </w:rPr>
        <w:t xml:space="preserve">icence </w:t>
      </w:r>
      <w:r w:rsidR="003A413A" w:rsidRPr="0024127B">
        <w:rPr>
          <w:szCs w:val="24"/>
          <w:u w:val="single"/>
        </w:rPr>
        <w:t>F</w:t>
      </w:r>
      <w:r w:rsidRPr="0024127B">
        <w:rPr>
          <w:szCs w:val="24"/>
          <w:u w:val="single"/>
        </w:rPr>
        <w:t>ees</w:t>
      </w:r>
      <w:r w:rsidR="00725B15" w:rsidRPr="0024127B">
        <w:rPr>
          <w:szCs w:val="24"/>
          <w:u w:val="single"/>
        </w:rPr>
        <w:t>:</w:t>
      </w:r>
      <w:r w:rsidRPr="0024127B">
        <w:rPr>
          <w:szCs w:val="24"/>
          <w:u w:val="single"/>
        </w:rPr>
        <w:t xml:space="preserve"> Rs 16,035</w:t>
      </w:r>
      <w:r w:rsidR="0024127B" w:rsidRPr="0024127B">
        <w:rPr>
          <w:szCs w:val="24"/>
          <w:u w:val="single"/>
        </w:rPr>
        <w:t>.</w:t>
      </w:r>
      <w:r w:rsidR="0024127B">
        <w:rPr>
          <w:szCs w:val="24"/>
        </w:rPr>
        <w:t xml:space="preserve"> </w:t>
      </w:r>
      <w:r w:rsidRPr="001D34E8">
        <w:rPr>
          <w:szCs w:val="24"/>
        </w:rPr>
        <w:t>The</w:t>
      </w:r>
      <w:r>
        <w:rPr>
          <w:szCs w:val="24"/>
        </w:rPr>
        <w:t xml:space="preserve"> fishing vessel licence fees </w:t>
      </w:r>
      <w:r w:rsidRPr="001D34E8">
        <w:rPr>
          <w:szCs w:val="24"/>
        </w:rPr>
        <w:t xml:space="preserve">are collected under the </w:t>
      </w:r>
      <w:proofErr w:type="spellStart"/>
      <w:r w:rsidRPr="001D34E8">
        <w:rPr>
          <w:szCs w:val="24"/>
        </w:rPr>
        <w:t>Rodrigues</w:t>
      </w:r>
      <w:proofErr w:type="spellEnd"/>
      <w:r w:rsidRPr="001D34E8">
        <w:rPr>
          <w:szCs w:val="24"/>
        </w:rPr>
        <w:t xml:space="preserve"> Boat Tax Regulation of 1921 </w:t>
      </w:r>
      <w:r>
        <w:rPr>
          <w:szCs w:val="24"/>
        </w:rPr>
        <w:t xml:space="preserve">at the rate of </w:t>
      </w:r>
      <w:r w:rsidRPr="001D34E8">
        <w:rPr>
          <w:szCs w:val="24"/>
        </w:rPr>
        <w:t xml:space="preserve">Rs 5 per boat. As of </w:t>
      </w:r>
      <w:r>
        <w:rPr>
          <w:szCs w:val="24"/>
        </w:rPr>
        <w:t xml:space="preserve">31 </w:t>
      </w:r>
      <w:r w:rsidRPr="001D34E8">
        <w:rPr>
          <w:szCs w:val="24"/>
        </w:rPr>
        <w:t xml:space="preserve">December 2013, </w:t>
      </w:r>
      <w:r>
        <w:rPr>
          <w:szCs w:val="24"/>
        </w:rPr>
        <w:t>some</w:t>
      </w:r>
      <w:r w:rsidRPr="001D34E8">
        <w:rPr>
          <w:szCs w:val="24"/>
        </w:rPr>
        <w:t xml:space="preserve"> 1,932 fishing boats </w:t>
      </w:r>
      <w:r>
        <w:rPr>
          <w:szCs w:val="24"/>
        </w:rPr>
        <w:t xml:space="preserve">were </w:t>
      </w:r>
      <w:r w:rsidRPr="001D34E8">
        <w:rPr>
          <w:szCs w:val="24"/>
        </w:rPr>
        <w:t xml:space="preserve">registered </w:t>
      </w:r>
      <w:r>
        <w:rPr>
          <w:szCs w:val="24"/>
        </w:rPr>
        <w:t>with</w:t>
      </w:r>
      <w:r w:rsidRPr="001D34E8">
        <w:rPr>
          <w:szCs w:val="24"/>
        </w:rPr>
        <w:t xml:space="preserve"> the Fisheries Protection Service</w:t>
      </w:r>
      <w:r>
        <w:rPr>
          <w:szCs w:val="24"/>
        </w:rPr>
        <w:t xml:space="preserve">, </w:t>
      </w:r>
      <w:r w:rsidRPr="001D34E8">
        <w:rPr>
          <w:szCs w:val="24"/>
        </w:rPr>
        <w:t xml:space="preserve">of which 1,687 boats </w:t>
      </w:r>
      <w:r>
        <w:rPr>
          <w:szCs w:val="24"/>
        </w:rPr>
        <w:t xml:space="preserve">were still in arrears with </w:t>
      </w:r>
      <w:r w:rsidRPr="001D34E8">
        <w:rPr>
          <w:szCs w:val="24"/>
        </w:rPr>
        <w:t>their licence fees</w:t>
      </w:r>
      <w:r>
        <w:rPr>
          <w:szCs w:val="24"/>
        </w:rPr>
        <w:t>. Yet</w:t>
      </w:r>
      <w:r w:rsidR="003A413A">
        <w:rPr>
          <w:szCs w:val="24"/>
        </w:rPr>
        <w:t>,</w:t>
      </w:r>
      <w:r>
        <w:rPr>
          <w:szCs w:val="24"/>
        </w:rPr>
        <w:t xml:space="preserve"> they were operating</w:t>
      </w:r>
      <w:r w:rsidRPr="001D34E8">
        <w:rPr>
          <w:szCs w:val="24"/>
        </w:rPr>
        <w:t xml:space="preserve"> </w:t>
      </w:r>
      <w:r>
        <w:rPr>
          <w:szCs w:val="24"/>
        </w:rPr>
        <w:t>w</w:t>
      </w:r>
      <w:r w:rsidRPr="001D34E8">
        <w:rPr>
          <w:szCs w:val="24"/>
        </w:rPr>
        <w:t xml:space="preserve">ithout </w:t>
      </w:r>
      <w:r>
        <w:rPr>
          <w:szCs w:val="24"/>
        </w:rPr>
        <w:t>valid</w:t>
      </w:r>
      <w:r w:rsidRPr="001D34E8">
        <w:rPr>
          <w:szCs w:val="24"/>
        </w:rPr>
        <w:t xml:space="preserve"> licence</w:t>
      </w:r>
      <w:r>
        <w:rPr>
          <w:szCs w:val="24"/>
        </w:rPr>
        <w:t>s</w:t>
      </w:r>
      <w:r w:rsidRPr="001D34E8">
        <w:rPr>
          <w:szCs w:val="24"/>
        </w:rPr>
        <w:t>.</w:t>
      </w:r>
    </w:p>
    <w:p w:rsidR="0000691A" w:rsidRDefault="0000691A" w:rsidP="002B1576">
      <w:pPr>
        <w:spacing w:after="200"/>
        <w:jc w:val="both"/>
        <w:rPr>
          <w:szCs w:val="24"/>
        </w:rPr>
      </w:pPr>
      <w:r w:rsidRPr="0024127B">
        <w:rPr>
          <w:szCs w:val="24"/>
          <w:u w:val="single"/>
        </w:rPr>
        <w:t xml:space="preserve">Water </w:t>
      </w:r>
      <w:r w:rsidR="003A413A" w:rsidRPr="0024127B">
        <w:rPr>
          <w:szCs w:val="24"/>
          <w:u w:val="single"/>
        </w:rPr>
        <w:t>R</w:t>
      </w:r>
      <w:r w:rsidRPr="0024127B">
        <w:rPr>
          <w:szCs w:val="24"/>
          <w:u w:val="single"/>
        </w:rPr>
        <w:t>ates</w:t>
      </w:r>
      <w:r w:rsidR="00725B15" w:rsidRPr="0024127B">
        <w:rPr>
          <w:szCs w:val="24"/>
          <w:u w:val="single"/>
        </w:rPr>
        <w:t>:</w:t>
      </w:r>
      <w:r w:rsidRPr="0024127B">
        <w:rPr>
          <w:szCs w:val="24"/>
          <w:u w:val="single"/>
        </w:rPr>
        <w:t xml:space="preserve"> Rs 75,411</w:t>
      </w:r>
      <w:r w:rsidR="0024127B">
        <w:rPr>
          <w:szCs w:val="24"/>
          <w:u w:val="single"/>
        </w:rPr>
        <w:t>.</w:t>
      </w:r>
      <w:r w:rsidR="0024127B" w:rsidRPr="0024127B">
        <w:rPr>
          <w:szCs w:val="24"/>
        </w:rPr>
        <w:t xml:space="preserve"> </w:t>
      </w:r>
      <w:r>
        <w:rPr>
          <w:szCs w:val="24"/>
        </w:rPr>
        <w:t>The amount collected is insignificant compared to huge investment</w:t>
      </w:r>
      <w:r w:rsidRPr="00344129">
        <w:rPr>
          <w:szCs w:val="24"/>
        </w:rPr>
        <w:t xml:space="preserve"> made in</w:t>
      </w:r>
      <w:r>
        <w:rPr>
          <w:szCs w:val="24"/>
        </w:rPr>
        <w:t xml:space="preserve"> the water sector</w:t>
      </w:r>
      <w:r w:rsidRPr="00344129">
        <w:rPr>
          <w:szCs w:val="24"/>
        </w:rPr>
        <w:t>.</w:t>
      </w:r>
      <w:r>
        <w:rPr>
          <w:szCs w:val="24"/>
        </w:rPr>
        <w:t xml:space="preserve"> </w:t>
      </w:r>
      <w:r w:rsidRPr="00344129">
        <w:rPr>
          <w:szCs w:val="24"/>
        </w:rPr>
        <w:t>The rate which</w:t>
      </w:r>
      <w:r>
        <w:rPr>
          <w:szCs w:val="24"/>
        </w:rPr>
        <w:t xml:space="preserve"> </w:t>
      </w:r>
      <w:r w:rsidRPr="00344129">
        <w:rPr>
          <w:szCs w:val="24"/>
        </w:rPr>
        <w:t>is presently Rs 22 per year</w:t>
      </w:r>
      <w:r>
        <w:rPr>
          <w:szCs w:val="24"/>
        </w:rPr>
        <w:t xml:space="preserve"> has never been revised. </w:t>
      </w:r>
    </w:p>
    <w:p w:rsidR="0069208E" w:rsidRDefault="0069208E" w:rsidP="002B1576">
      <w:pPr>
        <w:jc w:val="both"/>
        <w:rPr>
          <w:b/>
          <w:i/>
          <w:szCs w:val="24"/>
        </w:rPr>
      </w:pPr>
    </w:p>
    <w:p w:rsidR="0069208E" w:rsidRPr="000237BA" w:rsidRDefault="0069208E" w:rsidP="002B1576">
      <w:pPr>
        <w:jc w:val="both"/>
        <w:rPr>
          <w:b/>
          <w:i/>
          <w:szCs w:val="24"/>
        </w:rPr>
      </w:pPr>
      <w:r w:rsidRPr="000237BA">
        <w:rPr>
          <w:b/>
          <w:i/>
          <w:szCs w:val="24"/>
        </w:rPr>
        <w:t>RRA’s Reply</w:t>
      </w:r>
    </w:p>
    <w:p w:rsidR="0069208E" w:rsidRDefault="0069208E" w:rsidP="002B1576">
      <w:pPr>
        <w:jc w:val="both"/>
        <w:rPr>
          <w:szCs w:val="24"/>
        </w:rPr>
      </w:pPr>
    </w:p>
    <w:p w:rsidR="0069208E" w:rsidRPr="000237BA" w:rsidRDefault="0069208E" w:rsidP="002B1576">
      <w:pPr>
        <w:jc w:val="both"/>
        <w:rPr>
          <w:szCs w:val="24"/>
        </w:rPr>
      </w:pPr>
      <w:r w:rsidRPr="000237BA">
        <w:rPr>
          <w:szCs w:val="24"/>
        </w:rPr>
        <w:t>A Senior Internal Control Officer has now been posted to the RRA from Mauritius and he has been requested to review the internal check system with a view to avoid overpayment of salaries and travelling allowances in the future.</w:t>
      </w:r>
    </w:p>
    <w:p w:rsidR="0069208E" w:rsidRDefault="0069208E" w:rsidP="002B1576">
      <w:pPr>
        <w:jc w:val="both"/>
        <w:rPr>
          <w:i/>
          <w:szCs w:val="24"/>
        </w:rPr>
      </w:pPr>
    </w:p>
    <w:p w:rsidR="0069208E" w:rsidRPr="000237BA" w:rsidRDefault="0069208E" w:rsidP="002B1576">
      <w:pPr>
        <w:jc w:val="both"/>
        <w:rPr>
          <w:szCs w:val="24"/>
        </w:rPr>
      </w:pPr>
      <w:r w:rsidRPr="000237BA">
        <w:rPr>
          <w:szCs w:val="24"/>
        </w:rPr>
        <w:t>The Legal Adviser is drafting new regulations which will include a revision of the water rates.</w:t>
      </w:r>
    </w:p>
    <w:p w:rsidR="00F957A9" w:rsidRDefault="00F957A9"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24127B" w:rsidRDefault="0024127B" w:rsidP="002B1576">
      <w:pPr>
        <w:jc w:val="both"/>
        <w:rPr>
          <w:b/>
          <w:i/>
          <w:szCs w:val="24"/>
        </w:rPr>
      </w:pPr>
    </w:p>
    <w:p w:rsidR="00F957A9" w:rsidRDefault="00F957A9" w:rsidP="002B1576">
      <w:pPr>
        <w:jc w:val="both"/>
        <w:rPr>
          <w:b/>
          <w:i/>
          <w:szCs w:val="24"/>
        </w:rPr>
      </w:pPr>
    </w:p>
    <w:p w:rsidR="0000691A" w:rsidRPr="00D9603F" w:rsidRDefault="0000691A" w:rsidP="002B1576">
      <w:pPr>
        <w:jc w:val="both"/>
        <w:rPr>
          <w:i/>
          <w:szCs w:val="24"/>
        </w:rPr>
      </w:pPr>
      <w:r w:rsidRPr="00D9603F">
        <w:rPr>
          <w:i/>
          <w:szCs w:val="24"/>
        </w:rPr>
        <w:lastRenderedPageBreak/>
        <w:t>Expenditure</w:t>
      </w:r>
    </w:p>
    <w:p w:rsidR="0000691A" w:rsidRPr="0013777C" w:rsidRDefault="0000691A" w:rsidP="002B1576">
      <w:pPr>
        <w:jc w:val="both"/>
        <w:rPr>
          <w:i/>
          <w:szCs w:val="24"/>
        </w:rPr>
      </w:pPr>
    </w:p>
    <w:p w:rsidR="0000691A" w:rsidRDefault="0000691A" w:rsidP="002B1576">
      <w:pPr>
        <w:jc w:val="both"/>
        <w:rPr>
          <w:szCs w:val="24"/>
        </w:rPr>
      </w:pPr>
      <w:r>
        <w:rPr>
          <w:szCs w:val="24"/>
        </w:rPr>
        <w:t>An annual increase is noted in t</w:t>
      </w:r>
      <w:r w:rsidRPr="00344129">
        <w:rPr>
          <w:szCs w:val="24"/>
        </w:rPr>
        <w:t>otal expenditure of RRA</w:t>
      </w:r>
      <w:r>
        <w:rPr>
          <w:szCs w:val="24"/>
        </w:rPr>
        <w:t>. The figures of the past three fiscal years are given in Table 4</w:t>
      </w:r>
      <w:r w:rsidR="00F957A9">
        <w:rPr>
          <w:szCs w:val="24"/>
        </w:rPr>
        <w:t>.</w:t>
      </w:r>
    </w:p>
    <w:p w:rsidR="00F957A9" w:rsidRDefault="00F957A9" w:rsidP="002B1576">
      <w:pPr>
        <w:jc w:val="both"/>
        <w:rPr>
          <w:szCs w:val="24"/>
        </w:rPr>
      </w:pPr>
    </w:p>
    <w:p w:rsidR="0000691A" w:rsidRDefault="00F957A9" w:rsidP="002B1576">
      <w:pPr>
        <w:jc w:val="center"/>
        <w:rPr>
          <w:i/>
          <w:szCs w:val="24"/>
        </w:rPr>
      </w:pPr>
      <w:r>
        <w:rPr>
          <w:i/>
          <w:szCs w:val="24"/>
        </w:rPr>
        <w:t xml:space="preserve">Table 4  </w:t>
      </w:r>
      <w:r w:rsidR="0000691A" w:rsidRPr="00344129">
        <w:rPr>
          <w:i/>
          <w:szCs w:val="24"/>
        </w:rPr>
        <w:t>Total expenditure for the past three fiscal years</w:t>
      </w:r>
    </w:p>
    <w:p w:rsidR="00DF0496" w:rsidRDefault="00DF0496" w:rsidP="002B1576">
      <w:pPr>
        <w:jc w:val="center"/>
        <w:rPr>
          <w:i/>
          <w:szCs w:val="24"/>
        </w:rPr>
      </w:pPr>
    </w:p>
    <w:p w:rsidR="00DF0496" w:rsidRDefault="00DF0496" w:rsidP="002B1576">
      <w:pPr>
        <w:pBdr>
          <w:top w:val="single" w:sz="4" w:space="1" w:color="auto"/>
        </w:pBdr>
        <w:jc w:val="center"/>
        <w:rPr>
          <w:i/>
          <w:szCs w:val="24"/>
        </w:rPr>
      </w:pPr>
    </w:p>
    <w:tbl>
      <w:tblPr>
        <w:tblW w:w="0" w:type="auto"/>
        <w:jc w:val="center"/>
        <w:tblInd w:w="468" w:type="dxa"/>
        <w:tblLook w:val="04A0"/>
      </w:tblPr>
      <w:tblGrid>
        <w:gridCol w:w="1321"/>
        <w:gridCol w:w="2228"/>
        <w:gridCol w:w="1138"/>
      </w:tblGrid>
      <w:tr w:rsidR="0000691A" w:rsidRPr="00344129" w:rsidTr="00EE15AD">
        <w:trPr>
          <w:trHeight w:val="882"/>
          <w:jc w:val="center"/>
        </w:trPr>
        <w:tc>
          <w:tcPr>
            <w:tcW w:w="1321" w:type="dxa"/>
          </w:tcPr>
          <w:p w:rsidR="0000691A" w:rsidRPr="00344129" w:rsidRDefault="0000691A" w:rsidP="002B1576">
            <w:pPr>
              <w:spacing w:after="120"/>
              <w:jc w:val="center"/>
              <w:rPr>
                <w:b/>
                <w:szCs w:val="24"/>
              </w:rPr>
            </w:pPr>
            <w:r w:rsidRPr="00344129">
              <w:rPr>
                <w:b/>
                <w:szCs w:val="24"/>
              </w:rPr>
              <w:t>Fiscal Year</w:t>
            </w:r>
          </w:p>
        </w:tc>
        <w:tc>
          <w:tcPr>
            <w:tcW w:w="2228" w:type="dxa"/>
          </w:tcPr>
          <w:p w:rsidR="0000691A" w:rsidRPr="00344129" w:rsidRDefault="0000691A" w:rsidP="002B1576">
            <w:pPr>
              <w:spacing w:after="120"/>
              <w:jc w:val="center"/>
              <w:rPr>
                <w:b/>
                <w:szCs w:val="24"/>
              </w:rPr>
            </w:pPr>
            <w:r w:rsidRPr="00344129">
              <w:rPr>
                <w:b/>
                <w:szCs w:val="24"/>
              </w:rPr>
              <w:t>Total Expenditure Rs</w:t>
            </w:r>
          </w:p>
        </w:tc>
        <w:tc>
          <w:tcPr>
            <w:tcW w:w="1138" w:type="dxa"/>
          </w:tcPr>
          <w:p w:rsidR="00EE15AD" w:rsidRPr="00344129" w:rsidRDefault="0000691A" w:rsidP="00EE15AD">
            <w:pPr>
              <w:spacing w:after="120"/>
              <w:jc w:val="center"/>
              <w:rPr>
                <w:b/>
                <w:szCs w:val="24"/>
              </w:rPr>
            </w:pPr>
            <w:r w:rsidRPr="00344129">
              <w:rPr>
                <w:b/>
                <w:szCs w:val="24"/>
              </w:rPr>
              <w:t xml:space="preserve">% </w:t>
            </w:r>
            <w:r>
              <w:rPr>
                <w:b/>
                <w:szCs w:val="24"/>
              </w:rPr>
              <w:t>I</w:t>
            </w:r>
            <w:r w:rsidRPr="00344129">
              <w:rPr>
                <w:b/>
                <w:szCs w:val="24"/>
              </w:rPr>
              <w:t>ncrease</w:t>
            </w:r>
          </w:p>
        </w:tc>
      </w:tr>
      <w:tr w:rsidR="0000691A" w:rsidRPr="00344129" w:rsidTr="00DF0496">
        <w:trPr>
          <w:jc w:val="center"/>
        </w:trPr>
        <w:tc>
          <w:tcPr>
            <w:tcW w:w="1321" w:type="dxa"/>
          </w:tcPr>
          <w:p w:rsidR="0000691A" w:rsidRPr="00DF0496" w:rsidRDefault="0000691A" w:rsidP="002B1576">
            <w:pPr>
              <w:spacing w:after="120"/>
              <w:jc w:val="center"/>
              <w:rPr>
                <w:szCs w:val="24"/>
              </w:rPr>
            </w:pPr>
            <w:r w:rsidRPr="00DF0496">
              <w:rPr>
                <w:szCs w:val="24"/>
              </w:rPr>
              <w:t>2013</w:t>
            </w:r>
          </w:p>
        </w:tc>
        <w:tc>
          <w:tcPr>
            <w:tcW w:w="2228" w:type="dxa"/>
          </w:tcPr>
          <w:p w:rsidR="0000691A" w:rsidRPr="00DF0496" w:rsidRDefault="0000691A" w:rsidP="002B1576">
            <w:pPr>
              <w:spacing w:after="120"/>
              <w:jc w:val="center"/>
              <w:rPr>
                <w:szCs w:val="24"/>
              </w:rPr>
            </w:pPr>
            <w:r w:rsidRPr="00DF0496">
              <w:rPr>
                <w:szCs w:val="24"/>
              </w:rPr>
              <w:t>1,973,993,122</w:t>
            </w:r>
          </w:p>
        </w:tc>
        <w:tc>
          <w:tcPr>
            <w:tcW w:w="1138" w:type="dxa"/>
          </w:tcPr>
          <w:p w:rsidR="0000691A" w:rsidRPr="00DF0496" w:rsidRDefault="0000691A" w:rsidP="002B1576">
            <w:pPr>
              <w:spacing w:after="120"/>
              <w:jc w:val="center"/>
              <w:rPr>
                <w:szCs w:val="24"/>
              </w:rPr>
            </w:pPr>
            <w:r w:rsidRPr="00DF0496">
              <w:rPr>
                <w:szCs w:val="24"/>
              </w:rPr>
              <w:t>9.5</w:t>
            </w:r>
          </w:p>
        </w:tc>
      </w:tr>
      <w:tr w:rsidR="0000691A" w:rsidRPr="00344129" w:rsidTr="00DF0496">
        <w:trPr>
          <w:jc w:val="center"/>
        </w:trPr>
        <w:tc>
          <w:tcPr>
            <w:tcW w:w="1321" w:type="dxa"/>
          </w:tcPr>
          <w:p w:rsidR="0000691A" w:rsidRPr="00DF0496" w:rsidRDefault="0000691A" w:rsidP="002B1576">
            <w:pPr>
              <w:spacing w:after="120"/>
              <w:jc w:val="center"/>
              <w:rPr>
                <w:szCs w:val="24"/>
              </w:rPr>
            </w:pPr>
            <w:r w:rsidRPr="00DF0496">
              <w:rPr>
                <w:szCs w:val="24"/>
              </w:rPr>
              <w:t>2012</w:t>
            </w:r>
          </w:p>
        </w:tc>
        <w:tc>
          <w:tcPr>
            <w:tcW w:w="2228" w:type="dxa"/>
          </w:tcPr>
          <w:p w:rsidR="0000691A" w:rsidRPr="00DF0496" w:rsidRDefault="0000691A" w:rsidP="002B1576">
            <w:pPr>
              <w:spacing w:after="120"/>
              <w:jc w:val="center"/>
              <w:rPr>
                <w:szCs w:val="24"/>
              </w:rPr>
            </w:pPr>
            <w:r w:rsidRPr="00DF0496">
              <w:rPr>
                <w:szCs w:val="24"/>
              </w:rPr>
              <w:t>1,802,757,146</w:t>
            </w:r>
          </w:p>
        </w:tc>
        <w:tc>
          <w:tcPr>
            <w:tcW w:w="1138" w:type="dxa"/>
          </w:tcPr>
          <w:p w:rsidR="0000691A" w:rsidRPr="00DF0496" w:rsidRDefault="0000691A" w:rsidP="00EE15AD">
            <w:pPr>
              <w:spacing w:after="120"/>
              <w:jc w:val="center"/>
              <w:rPr>
                <w:szCs w:val="24"/>
              </w:rPr>
            </w:pPr>
            <w:r w:rsidRPr="00DF0496">
              <w:rPr>
                <w:szCs w:val="24"/>
              </w:rPr>
              <w:t>6.</w:t>
            </w:r>
            <w:r w:rsidR="00EE15AD">
              <w:rPr>
                <w:szCs w:val="24"/>
              </w:rPr>
              <w:t>7</w:t>
            </w:r>
          </w:p>
        </w:tc>
      </w:tr>
      <w:tr w:rsidR="0000691A" w:rsidRPr="00344129" w:rsidTr="00F957A9">
        <w:trPr>
          <w:trHeight w:val="180"/>
          <w:jc w:val="center"/>
        </w:trPr>
        <w:tc>
          <w:tcPr>
            <w:tcW w:w="1321" w:type="dxa"/>
          </w:tcPr>
          <w:p w:rsidR="0000691A" w:rsidRPr="00DF0496" w:rsidRDefault="0000691A" w:rsidP="002B1576">
            <w:pPr>
              <w:spacing w:after="120"/>
              <w:jc w:val="center"/>
              <w:rPr>
                <w:szCs w:val="24"/>
              </w:rPr>
            </w:pPr>
            <w:r w:rsidRPr="00DF0496">
              <w:rPr>
                <w:szCs w:val="24"/>
              </w:rPr>
              <w:t>2011</w:t>
            </w:r>
          </w:p>
        </w:tc>
        <w:tc>
          <w:tcPr>
            <w:tcW w:w="2228" w:type="dxa"/>
          </w:tcPr>
          <w:p w:rsidR="0000691A" w:rsidRPr="00DF0496" w:rsidRDefault="0000691A" w:rsidP="002B1576">
            <w:pPr>
              <w:spacing w:after="120"/>
              <w:jc w:val="center"/>
              <w:rPr>
                <w:szCs w:val="24"/>
              </w:rPr>
            </w:pPr>
            <w:r w:rsidRPr="00DF0496">
              <w:rPr>
                <w:szCs w:val="24"/>
              </w:rPr>
              <w:t>1,688,520,107</w:t>
            </w:r>
          </w:p>
        </w:tc>
        <w:tc>
          <w:tcPr>
            <w:tcW w:w="1138" w:type="dxa"/>
          </w:tcPr>
          <w:p w:rsidR="0000691A" w:rsidRPr="00DF0496" w:rsidRDefault="0000691A" w:rsidP="002B1576">
            <w:pPr>
              <w:spacing w:after="120"/>
              <w:jc w:val="center"/>
              <w:rPr>
                <w:szCs w:val="24"/>
              </w:rPr>
            </w:pPr>
            <w:r w:rsidRPr="00DF0496">
              <w:rPr>
                <w:szCs w:val="24"/>
              </w:rPr>
              <w:t>-</w:t>
            </w:r>
          </w:p>
        </w:tc>
      </w:tr>
    </w:tbl>
    <w:p w:rsidR="0000691A" w:rsidRDefault="0000691A" w:rsidP="002B1576">
      <w:pPr>
        <w:pBdr>
          <w:bottom w:val="single" w:sz="4" w:space="1" w:color="auto"/>
        </w:pBdr>
        <w:jc w:val="both"/>
        <w:rPr>
          <w:szCs w:val="24"/>
        </w:rPr>
      </w:pPr>
    </w:p>
    <w:p w:rsidR="00DF0496" w:rsidRDefault="00DF0496" w:rsidP="002B1576">
      <w:pPr>
        <w:jc w:val="both"/>
        <w:rPr>
          <w:szCs w:val="24"/>
        </w:rPr>
      </w:pPr>
    </w:p>
    <w:p w:rsidR="0000691A" w:rsidRDefault="0000691A" w:rsidP="002B1576">
      <w:pPr>
        <w:jc w:val="both"/>
        <w:rPr>
          <w:szCs w:val="24"/>
        </w:rPr>
      </w:pPr>
      <w:r w:rsidRPr="00601340">
        <w:rPr>
          <w:szCs w:val="24"/>
        </w:rPr>
        <w:t>For 2013, total expenditure amounting to Rs 1,973,993,122 has exceeded the actual amount received of Rs 1,715,999,044 by Rs 257,994,078. Th</w:t>
      </w:r>
      <w:r>
        <w:rPr>
          <w:szCs w:val="24"/>
        </w:rPr>
        <w:t>e</w:t>
      </w:r>
      <w:r w:rsidRPr="00601340">
        <w:rPr>
          <w:szCs w:val="24"/>
        </w:rPr>
        <w:t xml:space="preserve"> additional expenditure was financed from funds received from the Prime Minister’s Office amounting to Rs 256,230,000 and revenue </w:t>
      </w:r>
      <w:r w:rsidRPr="00563B50">
        <w:rPr>
          <w:szCs w:val="24"/>
        </w:rPr>
        <w:t xml:space="preserve">collected in </w:t>
      </w:r>
      <w:proofErr w:type="spellStart"/>
      <w:r w:rsidRPr="00563B50">
        <w:rPr>
          <w:szCs w:val="24"/>
        </w:rPr>
        <w:t>Rodrigues</w:t>
      </w:r>
      <w:proofErr w:type="spellEnd"/>
      <w:r w:rsidRPr="00563B50">
        <w:rPr>
          <w:szCs w:val="24"/>
        </w:rPr>
        <w:t xml:space="preserve"> amounting to Rs 30,142,251. </w:t>
      </w:r>
    </w:p>
    <w:p w:rsidR="0000691A" w:rsidRDefault="0000691A" w:rsidP="002B1576">
      <w:pPr>
        <w:jc w:val="both"/>
        <w:rPr>
          <w:szCs w:val="24"/>
        </w:rPr>
      </w:pPr>
    </w:p>
    <w:p w:rsidR="0000691A" w:rsidRPr="00563B50" w:rsidRDefault="0000691A" w:rsidP="002B1576">
      <w:pPr>
        <w:jc w:val="both"/>
        <w:rPr>
          <w:szCs w:val="24"/>
        </w:rPr>
      </w:pPr>
      <w:r w:rsidRPr="00563B50">
        <w:rPr>
          <w:szCs w:val="24"/>
        </w:rPr>
        <w:t xml:space="preserve">The amount standing to the credit of the </w:t>
      </w:r>
      <w:proofErr w:type="spellStart"/>
      <w:r w:rsidRPr="00563B50">
        <w:rPr>
          <w:szCs w:val="24"/>
        </w:rPr>
        <w:t>Rodrigues</w:t>
      </w:r>
      <w:proofErr w:type="spellEnd"/>
      <w:r w:rsidRPr="00563B50">
        <w:rPr>
          <w:szCs w:val="24"/>
        </w:rPr>
        <w:t xml:space="preserve"> Consolidated Fund as of 31 December 2013 was Rs 28,378,173. </w:t>
      </w:r>
    </w:p>
    <w:p w:rsidR="0000691A" w:rsidRDefault="0000691A" w:rsidP="002B1576">
      <w:pPr>
        <w:jc w:val="both"/>
        <w:rPr>
          <w:szCs w:val="24"/>
        </w:rPr>
      </w:pPr>
    </w:p>
    <w:p w:rsidR="00DF0496" w:rsidRDefault="00DF0496" w:rsidP="002B1576">
      <w:pPr>
        <w:jc w:val="both"/>
        <w:rPr>
          <w:szCs w:val="24"/>
        </w:rPr>
      </w:pPr>
    </w:p>
    <w:p w:rsidR="0000691A" w:rsidRDefault="00CC449F" w:rsidP="002B1576">
      <w:pPr>
        <w:jc w:val="both"/>
        <w:rPr>
          <w:szCs w:val="24"/>
        </w:rPr>
      </w:pPr>
      <w:r>
        <w:rPr>
          <w:b/>
          <w:szCs w:val="24"/>
        </w:rPr>
        <w:t xml:space="preserve">2.5 </w:t>
      </w:r>
      <w:r w:rsidR="0024127B">
        <w:rPr>
          <w:b/>
          <w:szCs w:val="24"/>
        </w:rPr>
        <w:t xml:space="preserve"> </w:t>
      </w:r>
      <w:r w:rsidR="0000691A" w:rsidRPr="00344129">
        <w:rPr>
          <w:b/>
          <w:szCs w:val="24"/>
        </w:rPr>
        <w:t>Statement of</w:t>
      </w:r>
      <w:r w:rsidR="0000691A" w:rsidRPr="00344129">
        <w:rPr>
          <w:szCs w:val="24"/>
        </w:rPr>
        <w:t xml:space="preserve"> </w:t>
      </w:r>
      <w:r w:rsidR="0000691A" w:rsidRPr="00344129">
        <w:rPr>
          <w:b/>
          <w:szCs w:val="24"/>
        </w:rPr>
        <w:t>Investments</w:t>
      </w:r>
      <w:r w:rsidR="0000691A" w:rsidRPr="00344129">
        <w:rPr>
          <w:szCs w:val="24"/>
        </w:rPr>
        <w:t xml:space="preserve"> </w:t>
      </w:r>
    </w:p>
    <w:p w:rsidR="0000691A" w:rsidRPr="00344129" w:rsidRDefault="0000691A" w:rsidP="002B1576">
      <w:pPr>
        <w:jc w:val="both"/>
        <w:rPr>
          <w:szCs w:val="24"/>
        </w:rPr>
      </w:pPr>
    </w:p>
    <w:p w:rsidR="0089293B" w:rsidRDefault="0000691A" w:rsidP="002B1576">
      <w:pPr>
        <w:jc w:val="both"/>
        <w:rPr>
          <w:szCs w:val="24"/>
        </w:rPr>
      </w:pPr>
      <w:r w:rsidRPr="004C4935">
        <w:rPr>
          <w:szCs w:val="24"/>
        </w:rPr>
        <w:t xml:space="preserve">The total amount of Rs 42,639,590 was invested as equity in </w:t>
      </w:r>
      <w:r>
        <w:rPr>
          <w:szCs w:val="24"/>
        </w:rPr>
        <w:t>seven</w:t>
      </w:r>
      <w:r w:rsidRPr="004C4935">
        <w:rPr>
          <w:szCs w:val="24"/>
        </w:rPr>
        <w:t xml:space="preserve"> private companies set up by the</w:t>
      </w:r>
      <w:r>
        <w:rPr>
          <w:szCs w:val="24"/>
        </w:rPr>
        <w:t xml:space="preserve"> RRA. The position as of </w:t>
      </w:r>
      <w:r w:rsidRPr="00344129">
        <w:rPr>
          <w:szCs w:val="24"/>
        </w:rPr>
        <w:t xml:space="preserve">31 December 2013 is shown in Table </w:t>
      </w:r>
      <w:r>
        <w:rPr>
          <w:szCs w:val="24"/>
        </w:rPr>
        <w:t>5</w:t>
      </w:r>
      <w:r w:rsidRPr="00344129">
        <w:rPr>
          <w:szCs w:val="24"/>
        </w:rPr>
        <w:t>.</w:t>
      </w:r>
    </w:p>
    <w:p w:rsidR="0089293B" w:rsidRDefault="0089293B" w:rsidP="002B1576">
      <w:pPr>
        <w:spacing w:after="200"/>
        <w:rPr>
          <w:szCs w:val="24"/>
        </w:rPr>
      </w:pPr>
      <w:r>
        <w:rPr>
          <w:szCs w:val="24"/>
        </w:rPr>
        <w:br w:type="page"/>
      </w:r>
    </w:p>
    <w:p w:rsidR="0000691A" w:rsidRDefault="00F957A9" w:rsidP="002B1576">
      <w:pPr>
        <w:jc w:val="center"/>
        <w:rPr>
          <w:i/>
          <w:szCs w:val="24"/>
        </w:rPr>
      </w:pPr>
      <w:r>
        <w:rPr>
          <w:i/>
          <w:szCs w:val="24"/>
        </w:rPr>
        <w:lastRenderedPageBreak/>
        <w:t xml:space="preserve">Table 5 </w:t>
      </w:r>
      <w:r w:rsidR="0000691A">
        <w:rPr>
          <w:i/>
          <w:szCs w:val="24"/>
        </w:rPr>
        <w:t xml:space="preserve"> </w:t>
      </w:r>
      <w:r w:rsidR="0000691A" w:rsidRPr="00685D89">
        <w:rPr>
          <w:i/>
          <w:szCs w:val="24"/>
        </w:rPr>
        <w:t>Investment</w:t>
      </w:r>
      <w:r w:rsidR="00EE15AD">
        <w:rPr>
          <w:i/>
          <w:szCs w:val="24"/>
        </w:rPr>
        <w:t>s</w:t>
      </w:r>
      <w:r w:rsidR="0000691A" w:rsidRPr="00685D89">
        <w:rPr>
          <w:i/>
          <w:szCs w:val="24"/>
        </w:rPr>
        <w:t xml:space="preserve"> of RRA in Private Companies as of 31 December 2013</w:t>
      </w:r>
    </w:p>
    <w:p w:rsidR="00DF0496" w:rsidRDefault="00DF0496" w:rsidP="002B1576">
      <w:pPr>
        <w:jc w:val="center"/>
        <w:rPr>
          <w:i/>
          <w:szCs w:val="24"/>
        </w:rPr>
      </w:pPr>
    </w:p>
    <w:p w:rsidR="00DF0496" w:rsidRPr="000B68F5" w:rsidRDefault="00DF0496" w:rsidP="002B1576">
      <w:pPr>
        <w:pBdr>
          <w:top w:val="single" w:sz="4" w:space="1" w:color="auto"/>
        </w:pBdr>
        <w:jc w:val="center"/>
        <w:rPr>
          <w:szCs w:val="24"/>
        </w:rPr>
      </w:pPr>
    </w:p>
    <w:tbl>
      <w:tblPr>
        <w:tblW w:w="8325" w:type="dxa"/>
        <w:jc w:val="center"/>
        <w:tblLayout w:type="fixed"/>
        <w:tblLook w:val="04A0"/>
      </w:tblPr>
      <w:tblGrid>
        <w:gridCol w:w="3052"/>
        <w:gridCol w:w="2115"/>
        <w:gridCol w:w="1650"/>
        <w:gridCol w:w="1508"/>
      </w:tblGrid>
      <w:tr w:rsidR="0000691A" w:rsidRPr="00344129" w:rsidTr="003E2292">
        <w:trPr>
          <w:trHeight w:val="1755"/>
          <w:jc w:val="center"/>
        </w:trPr>
        <w:tc>
          <w:tcPr>
            <w:tcW w:w="3052" w:type="dxa"/>
          </w:tcPr>
          <w:p w:rsidR="0000691A" w:rsidRPr="00685D89" w:rsidRDefault="0000691A" w:rsidP="002B1576">
            <w:pPr>
              <w:jc w:val="center"/>
              <w:rPr>
                <w:b/>
                <w:szCs w:val="24"/>
              </w:rPr>
            </w:pPr>
          </w:p>
        </w:tc>
        <w:tc>
          <w:tcPr>
            <w:tcW w:w="2115" w:type="dxa"/>
          </w:tcPr>
          <w:p w:rsidR="0000691A" w:rsidRPr="00685D89" w:rsidRDefault="0000691A" w:rsidP="002B1576">
            <w:pPr>
              <w:jc w:val="center"/>
              <w:rPr>
                <w:b/>
                <w:szCs w:val="24"/>
              </w:rPr>
            </w:pPr>
            <w:r w:rsidRPr="00685D89">
              <w:rPr>
                <w:b/>
                <w:szCs w:val="24"/>
              </w:rPr>
              <w:t>Date of Incorp</w:t>
            </w:r>
            <w:r>
              <w:rPr>
                <w:b/>
                <w:szCs w:val="24"/>
              </w:rPr>
              <w:t>oratio</w:t>
            </w:r>
            <w:r w:rsidRPr="00685D89">
              <w:rPr>
                <w:b/>
                <w:szCs w:val="24"/>
              </w:rPr>
              <w:t>n</w:t>
            </w:r>
          </w:p>
        </w:tc>
        <w:tc>
          <w:tcPr>
            <w:tcW w:w="1650" w:type="dxa"/>
          </w:tcPr>
          <w:p w:rsidR="0000691A" w:rsidRDefault="0000691A" w:rsidP="002B1576">
            <w:pPr>
              <w:jc w:val="center"/>
              <w:rPr>
                <w:b/>
                <w:szCs w:val="24"/>
              </w:rPr>
            </w:pPr>
            <w:r w:rsidRPr="00685D89">
              <w:rPr>
                <w:b/>
                <w:szCs w:val="24"/>
              </w:rPr>
              <w:t xml:space="preserve">Total </w:t>
            </w:r>
            <w:r w:rsidR="003A413A">
              <w:rPr>
                <w:b/>
                <w:szCs w:val="24"/>
              </w:rPr>
              <w:t>I</w:t>
            </w:r>
            <w:r w:rsidRPr="00685D89">
              <w:rPr>
                <w:b/>
                <w:szCs w:val="24"/>
              </w:rPr>
              <w:t>nvestment</w:t>
            </w:r>
            <w:r>
              <w:rPr>
                <w:b/>
                <w:szCs w:val="24"/>
              </w:rPr>
              <w:t xml:space="preserve"> as of 31 December 2013</w:t>
            </w:r>
          </w:p>
          <w:p w:rsidR="0000691A" w:rsidRPr="00685D89" w:rsidRDefault="0000691A" w:rsidP="00EE15AD">
            <w:pPr>
              <w:jc w:val="center"/>
              <w:rPr>
                <w:b/>
                <w:szCs w:val="24"/>
              </w:rPr>
            </w:pPr>
            <w:r w:rsidRPr="00685D89">
              <w:rPr>
                <w:b/>
                <w:szCs w:val="24"/>
              </w:rPr>
              <w:t>Rs</w:t>
            </w:r>
          </w:p>
        </w:tc>
        <w:tc>
          <w:tcPr>
            <w:tcW w:w="1508" w:type="dxa"/>
          </w:tcPr>
          <w:p w:rsidR="0000691A" w:rsidRPr="00685D89" w:rsidRDefault="0000691A" w:rsidP="002B1576">
            <w:pPr>
              <w:jc w:val="center"/>
              <w:rPr>
                <w:b/>
                <w:szCs w:val="24"/>
              </w:rPr>
            </w:pPr>
            <w:r>
              <w:rPr>
                <w:b/>
                <w:szCs w:val="24"/>
              </w:rPr>
              <w:t xml:space="preserve">Winding </w:t>
            </w:r>
            <w:r w:rsidRPr="00685D89">
              <w:rPr>
                <w:b/>
                <w:szCs w:val="24"/>
              </w:rPr>
              <w:t xml:space="preserve">up in process </w:t>
            </w:r>
            <w:r>
              <w:rPr>
                <w:b/>
                <w:szCs w:val="24"/>
              </w:rPr>
              <w:t xml:space="preserve"> </w:t>
            </w:r>
            <w:r w:rsidRPr="00685D89">
              <w:rPr>
                <w:b/>
                <w:szCs w:val="24"/>
              </w:rPr>
              <w:t>since</w:t>
            </w:r>
          </w:p>
        </w:tc>
      </w:tr>
      <w:tr w:rsidR="0000691A" w:rsidRPr="001970A6" w:rsidTr="00004AAA">
        <w:trPr>
          <w:trHeight w:val="900"/>
          <w:jc w:val="center"/>
        </w:trPr>
        <w:tc>
          <w:tcPr>
            <w:tcW w:w="3052" w:type="dxa"/>
          </w:tcPr>
          <w:p w:rsidR="0000691A" w:rsidRPr="001970A6" w:rsidRDefault="0000691A" w:rsidP="002B1576">
            <w:pPr>
              <w:rPr>
                <w:szCs w:val="24"/>
              </w:rPr>
            </w:pPr>
            <w:proofErr w:type="spellStart"/>
            <w:r w:rsidRPr="001970A6">
              <w:rPr>
                <w:szCs w:val="24"/>
              </w:rPr>
              <w:t>Rodrigues</w:t>
            </w:r>
            <w:proofErr w:type="spellEnd"/>
            <w:r w:rsidRPr="001970A6">
              <w:rPr>
                <w:szCs w:val="24"/>
              </w:rPr>
              <w:t xml:space="preserve"> Educational Development Co</w:t>
            </w:r>
            <w:r>
              <w:rPr>
                <w:szCs w:val="24"/>
              </w:rPr>
              <w:t>mpany</w:t>
            </w:r>
            <w:r w:rsidRPr="001970A6">
              <w:rPr>
                <w:szCs w:val="24"/>
              </w:rPr>
              <w:t xml:space="preserve"> Ltd.</w:t>
            </w:r>
            <w:r>
              <w:rPr>
                <w:szCs w:val="24"/>
              </w:rPr>
              <w:t xml:space="preserve"> (REDCO)</w:t>
            </w:r>
          </w:p>
        </w:tc>
        <w:tc>
          <w:tcPr>
            <w:tcW w:w="2115" w:type="dxa"/>
            <w:vAlign w:val="bottom"/>
          </w:tcPr>
          <w:p w:rsidR="0000691A" w:rsidRPr="001970A6" w:rsidRDefault="0000691A" w:rsidP="002B1576">
            <w:pPr>
              <w:spacing w:after="120"/>
              <w:jc w:val="center"/>
              <w:rPr>
                <w:szCs w:val="24"/>
              </w:rPr>
            </w:pPr>
            <w:r w:rsidRPr="001970A6">
              <w:rPr>
                <w:szCs w:val="24"/>
              </w:rPr>
              <w:t>30 December 1988</w:t>
            </w:r>
          </w:p>
        </w:tc>
        <w:tc>
          <w:tcPr>
            <w:tcW w:w="1650" w:type="dxa"/>
            <w:vAlign w:val="bottom"/>
          </w:tcPr>
          <w:p w:rsidR="0000691A" w:rsidRPr="001970A6" w:rsidRDefault="0000691A" w:rsidP="002B1576">
            <w:pPr>
              <w:spacing w:after="120"/>
              <w:ind w:right="215"/>
              <w:jc w:val="right"/>
              <w:rPr>
                <w:szCs w:val="24"/>
              </w:rPr>
            </w:pPr>
            <w:r w:rsidRPr="001970A6">
              <w:rPr>
                <w:szCs w:val="24"/>
              </w:rPr>
              <w:t>51,000</w:t>
            </w:r>
          </w:p>
        </w:tc>
        <w:tc>
          <w:tcPr>
            <w:tcW w:w="1508" w:type="dxa"/>
          </w:tcPr>
          <w:p w:rsidR="0000691A" w:rsidRPr="001970A6" w:rsidRDefault="0000691A" w:rsidP="002B1576">
            <w:pPr>
              <w:spacing w:after="120"/>
              <w:jc w:val="center"/>
              <w:rPr>
                <w:szCs w:val="24"/>
              </w:rPr>
            </w:pPr>
          </w:p>
        </w:tc>
      </w:tr>
      <w:tr w:rsidR="0000691A" w:rsidRPr="00344129" w:rsidTr="00004AAA">
        <w:trPr>
          <w:trHeight w:val="422"/>
          <w:jc w:val="center"/>
        </w:trPr>
        <w:tc>
          <w:tcPr>
            <w:tcW w:w="3052" w:type="dxa"/>
          </w:tcPr>
          <w:p w:rsidR="0000691A" w:rsidRPr="00657F79" w:rsidRDefault="0000691A" w:rsidP="002B1576">
            <w:pPr>
              <w:spacing w:after="120"/>
              <w:rPr>
                <w:color w:val="0070C0"/>
                <w:szCs w:val="24"/>
              </w:rPr>
            </w:pPr>
            <w:proofErr w:type="spellStart"/>
            <w:r w:rsidRPr="00344129">
              <w:rPr>
                <w:szCs w:val="24"/>
              </w:rPr>
              <w:t>Rodrigues</w:t>
            </w:r>
            <w:proofErr w:type="spellEnd"/>
            <w:r w:rsidRPr="00344129">
              <w:rPr>
                <w:szCs w:val="24"/>
              </w:rPr>
              <w:t xml:space="preserve"> Trading and Marketing Co</w:t>
            </w:r>
            <w:r>
              <w:rPr>
                <w:szCs w:val="24"/>
              </w:rPr>
              <w:t>mpany</w:t>
            </w:r>
            <w:r w:rsidRPr="00344129">
              <w:rPr>
                <w:szCs w:val="24"/>
              </w:rPr>
              <w:t xml:space="preserve"> Ltd</w:t>
            </w:r>
          </w:p>
        </w:tc>
        <w:tc>
          <w:tcPr>
            <w:tcW w:w="2115" w:type="dxa"/>
            <w:vAlign w:val="bottom"/>
          </w:tcPr>
          <w:p w:rsidR="0000691A" w:rsidRPr="00657F79" w:rsidRDefault="0000691A" w:rsidP="002B1576">
            <w:pPr>
              <w:spacing w:after="120"/>
              <w:rPr>
                <w:color w:val="0070C0"/>
                <w:szCs w:val="24"/>
              </w:rPr>
            </w:pPr>
            <w:r>
              <w:rPr>
                <w:szCs w:val="24"/>
              </w:rPr>
              <w:t xml:space="preserve">30 </w:t>
            </w:r>
            <w:r w:rsidRPr="00344129">
              <w:rPr>
                <w:szCs w:val="24"/>
              </w:rPr>
              <w:t>Jun</w:t>
            </w:r>
            <w:r>
              <w:rPr>
                <w:szCs w:val="24"/>
              </w:rPr>
              <w:t>e 20</w:t>
            </w:r>
            <w:r w:rsidRPr="00344129">
              <w:rPr>
                <w:szCs w:val="24"/>
              </w:rPr>
              <w:t>06</w:t>
            </w:r>
          </w:p>
        </w:tc>
        <w:tc>
          <w:tcPr>
            <w:tcW w:w="1650" w:type="dxa"/>
            <w:vAlign w:val="bottom"/>
          </w:tcPr>
          <w:p w:rsidR="0000691A" w:rsidRPr="00657F79" w:rsidRDefault="0000691A" w:rsidP="002B1576">
            <w:pPr>
              <w:spacing w:after="120"/>
              <w:ind w:right="215"/>
              <w:jc w:val="right"/>
              <w:rPr>
                <w:color w:val="0070C0"/>
                <w:szCs w:val="24"/>
              </w:rPr>
            </w:pPr>
            <w:r w:rsidRPr="00344129">
              <w:rPr>
                <w:szCs w:val="24"/>
              </w:rPr>
              <w:t>4,000,000</w:t>
            </w:r>
          </w:p>
        </w:tc>
        <w:tc>
          <w:tcPr>
            <w:tcW w:w="1508" w:type="dxa"/>
          </w:tcPr>
          <w:p w:rsidR="0000691A" w:rsidRPr="00344129" w:rsidRDefault="0000691A" w:rsidP="002B1576">
            <w:pPr>
              <w:spacing w:after="120"/>
              <w:jc w:val="center"/>
              <w:rPr>
                <w:szCs w:val="24"/>
              </w:rPr>
            </w:pPr>
          </w:p>
        </w:tc>
      </w:tr>
      <w:tr w:rsidR="0000691A" w:rsidRPr="00344129" w:rsidTr="003E2292">
        <w:trPr>
          <w:trHeight w:val="422"/>
          <w:jc w:val="center"/>
        </w:trPr>
        <w:tc>
          <w:tcPr>
            <w:tcW w:w="3052" w:type="dxa"/>
          </w:tcPr>
          <w:p w:rsidR="0000691A" w:rsidRPr="00344129" w:rsidRDefault="0000691A" w:rsidP="002B1576">
            <w:pPr>
              <w:spacing w:after="120"/>
              <w:rPr>
                <w:szCs w:val="24"/>
              </w:rPr>
            </w:pPr>
            <w:r w:rsidRPr="00344129">
              <w:rPr>
                <w:szCs w:val="24"/>
              </w:rPr>
              <w:t xml:space="preserve">Discovery </w:t>
            </w:r>
            <w:proofErr w:type="spellStart"/>
            <w:r w:rsidRPr="00344129">
              <w:rPr>
                <w:szCs w:val="24"/>
              </w:rPr>
              <w:t>Rodrigues</w:t>
            </w:r>
            <w:proofErr w:type="spellEnd"/>
            <w:r w:rsidRPr="00344129">
              <w:rPr>
                <w:szCs w:val="24"/>
              </w:rPr>
              <w:t xml:space="preserve"> Co</w:t>
            </w:r>
            <w:r>
              <w:rPr>
                <w:szCs w:val="24"/>
              </w:rPr>
              <w:t>mpany</w:t>
            </w:r>
            <w:r w:rsidRPr="00344129">
              <w:rPr>
                <w:szCs w:val="24"/>
              </w:rPr>
              <w:t xml:space="preserve"> Ltd</w:t>
            </w:r>
          </w:p>
        </w:tc>
        <w:tc>
          <w:tcPr>
            <w:tcW w:w="2115" w:type="dxa"/>
            <w:vAlign w:val="bottom"/>
          </w:tcPr>
          <w:p w:rsidR="0000691A" w:rsidRDefault="0000691A" w:rsidP="002B1576">
            <w:pPr>
              <w:spacing w:after="120"/>
              <w:rPr>
                <w:szCs w:val="24"/>
              </w:rPr>
            </w:pPr>
            <w:r>
              <w:rPr>
                <w:szCs w:val="24"/>
              </w:rPr>
              <w:t>15 November 20</w:t>
            </w:r>
            <w:r w:rsidRPr="00344129">
              <w:rPr>
                <w:szCs w:val="24"/>
              </w:rPr>
              <w:t>06</w:t>
            </w:r>
          </w:p>
        </w:tc>
        <w:tc>
          <w:tcPr>
            <w:tcW w:w="1650" w:type="dxa"/>
            <w:vAlign w:val="bottom"/>
          </w:tcPr>
          <w:p w:rsidR="0000691A" w:rsidRPr="00344129" w:rsidRDefault="0000691A" w:rsidP="002B1576">
            <w:pPr>
              <w:spacing w:after="120"/>
              <w:ind w:right="215"/>
              <w:jc w:val="right"/>
              <w:rPr>
                <w:szCs w:val="24"/>
              </w:rPr>
            </w:pPr>
            <w:r w:rsidRPr="00344129">
              <w:rPr>
                <w:szCs w:val="24"/>
              </w:rPr>
              <w:t>2,000,000</w:t>
            </w:r>
          </w:p>
        </w:tc>
        <w:tc>
          <w:tcPr>
            <w:tcW w:w="1508" w:type="dxa"/>
          </w:tcPr>
          <w:p w:rsidR="0000691A" w:rsidRPr="00344129" w:rsidRDefault="0000691A" w:rsidP="002B1576">
            <w:pPr>
              <w:spacing w:after="120"/>
              <w:jc w:val="center"/>
              <w:rPr>
                <w:szCs w:val="24"/>
              </w:rPr>
            </w:pPr>
          </w:p>
        </w:tc>
      </w:tr>
      <w:tr w:rsidR="0000691A" w:rsidRPr="00344129" w:rsidTr="00004AAA">
        <w:trPr>
          <w:trHeight w:val="422"/>
          <w:jc w:val="center"/>
        </w:trPr>
        <w:tc>
          <w:tcPr>
            <w:tcW w:w="3052" w:type="dxa"/>
          </w:tcPr>
          <w:p w:rsidR="0000691A" w:rsidRPr="00344129" w:rsidRDefault="0000691A" w:rsidP="002B1576">
            <w:pPr>
              <w:spacing w:after="120"/>
              <w:rPr>
                <w:szCs w:val="24"/>
              </w:rPr>
            </w:pPr>
            <w:proofErr w:type="spellStart"/>
            <w:r w:rsidRPr="00344129">
              <w:rPr>
                <w:szCs w:val="24"/>
              </w:rPr>
              <w:t>Rodrigues</w:t>
            </w:r>
            <w:proofErr w:type="spellEnd"/>
            <w:r w:rsidRPr="00344129">
              <w:rPr>
                <w:szCs w:val="24"/>
              </w:rPr>
              <w:t xml:space="preserve"> General Fishing Co</w:t>
            </w:r>
            <w:r>
              <w:rPr>
                <w:szCs w:val="24"/>
              </w:rPr>
              <w:t>mpany</w:t>
            </w:r>
            <w:r w:rsidRPr="00344129">
              <w:rPr>
                <w:szCs w:val="24"/>
              </w:rPr>
              <w:t xml:space="preserve"> Ltd</w:t>
            </w:r>
          </w:p>
        </w:tc>
        <w:tc>
          <w:tcPr>
            <w:tcW w:w="2115" w:type="dxa"/>
            <w:vAlign w:val="bottom"/>
          </w:tcPr>
          <w:p w:rsidR="0000691A" w:rsidRDefault="0000691A" w:rsidP="002B1576">
            <w:pPr>
              <w:spacing w:after="120"/>
              <w:rPr>
                <w:szCs w:val="24"/>
              </w:rPr>
            </w:pPr>
            <w:r>
              <w:rPr>
                <w:szCs w:val="24"/>
              </w:rPr>
              <w:t xml:space="preserve">8 </w:t>
            </w:r>
            <w:r w:rsidRPr="00344129">
              <w:rPr>
                <w:szCs w:val="24"/>
              </w:rPr>
              <w:t>Jun</w:t>
            </w:r>
            <w:r>
              <w:rPr>
                <w:szCs w:val="24"/>
              </w:rPr>
              <w:t>e 20</w:t>
            </w:r>
            <w:r w:rsidRPr="00344129">
              <w:rPr>
                <w:szCs w:val="24"/>
              </w:rPr>
              <w:t>07</w:t>
            </w:r>
          </w:p>
        </w:tc>
        <w:tc>
          <w:tcPr>
            <w:tcW w:w="1650" w:type="dxa"/>
            <w:vAlign w:val="bottom"/>
          </w:tcPr>
          <w:p w:rsidR="0000691A" w:rsidRPr="00344129" w:rsidRDefault="0000691A" w:rsidP="002B1576">
            <w:pPr>
              <w:spacing w:after="120"/>
              <w:ind w:right="215"/>
              <w:jc w:val="right"/>
              <w:rPr>
                <w:szCs w:val="24"/>
              </w:rPr>
            </w:pPr>
            <w:r w:rsidRPr="00344129">
              <w:rPr>
                <w:szCs w:val="24"/>
              </w:rPr>
              <w:t>6,400,000</w:t>
            </w:r>
          </w:p>
        </w:tc>
        <w:tc>
          <w:tcPr>
            <w:tcW w:w="1508" w:type="dxa"/>
            <w:vAlign w:val="bottom"/>
          </w:tcPr>
          <w:p w:rsidR="0000691A" w:rsidRPr="00344129" w:rsidRDefault="0000691A" w:rsidP="002B1576">
            <w:pPr>
              <w:spacing w:after="120"/>
              <w:rPr>
                <w:szCs w:val="24"/>
              </w:rPr>
            </w:pPr>
            <w:r>
              <w:rPr>
                <w:szCs w:val="24"/>
              </w:rPr>
              <w:t>April 20</w:t>
            </w:r>
            <w:r w:rsidRPr="00344129">
              <w:rPr>
                <w:szCs w:val="24"/>
              </w:rPr>
              <w:t>12</w:t>
            </w:r>
          </w:p>
        </w:tc>
      </w:tr>
      <w:tr w:rsidR="0000691A" w:rsidRPr="00344129" w:rsidTr="00004AAA">
        <w:trPr>
          <w:trHeight w:val="422"/>
          <w:jc w:val="center"/>
        </w:trPr>
        <w:tc>
          <w:tcPr>
            <w:tcW w:w="3052" w:type="dxa"/>
          </w:tcPr>
          <w:p w:rsidR="0000691A" w:rsidRPr="00344129" w:rsidRDefault="0000691A" w:rsidP="002B1576">
            <w:pPr>
              <w:spacing w:after="120"/>
              <w:rPr>
                <w:szCs w:val="24"/>
              </w:rPr>
            </w:pPr>
            <w:r w:rsidRPr="00344129">
              <w:rPr>
                <w:szCs w:val="24"/>
              </w:rPr>
              <w:t>Rod Clean Co</w:t>
            </w:r>
            <w:r>
              <w:rPr>
                <w:szCs w:val="24"/>
              </w:rPr>
              <w:t>mpany</w:t>
            </w:r>
            <w:r w:rsidRPr="00344129">
              <w:rPr>
                <w:szCs w:val="24"/>
              </w:rPr>
              <w:t xml:space="preserve"> Ltd</w:t>
            </w:r>
          </w:p>
        </w:tc>
        <w:tc>
          <w:tcPr>
            <w:tcW w:w="2115" w:type="dxa"/>
          </w:tcPr>
          <w:p w:rsidR="0000691A" w:rsidRDefault="0000691A" w:rsidP="002B1576">
            <w:pPr>
              <w:spacing w:after="120"/>
              <w:rPr>
                <w:szCs w:val="24"/>
              </w:rPr>
            </w:pPr>
            <w:r>
              <w:rPr>
                <w:szCs w:val="24"/>
              </w:rPr>
              <w:t>19 September 20</w:t>
            </w:r>
            <w:r w:rsidRPr="00344129">
              <w:rPr>
                <w:szCs w:val="24"/>
              </w:rPr>
              <w:t>07</w:t>
            </w:r>
          </w:p>
        </w:tc>
        <w:tc>
          <w:tcPr>
            <w:tcW w:w="1650" w:type="dxa"/>
          </w:tcPr>
          <w:p w:rsidR="0000691A" w:rsidRPr="00344129" w:rsidRDefault="0000691A" w:rsidP="002B1576">
            <w:pPr>
              <w:spacing w:after="120"/>
              <w:ind w:right="215"/>
              <w:jc w:val="right"/>
              <w:rPr>
                <w:szCs w:val="24"/>
              </w:rPr>
            </w:pPr>
            <w:r w:rsidRPr="00344129">
              <w:rPr>
                <w:szCs w:val="24"/>
              </w:rPr>
              <w:t>10,188,590</w:t>
            </w:r>
          </w:p>
        </w:tc>
        <w:tc>
          <w:tcPr>
            <w:tcW w:w="1508" w:type="dxa"/>
          </w:tcPr>
          <w:p w:rsidR="0000691A" w:rsidRDefault="0000691A" w:rsidP="002B1576">
            <w:pPr>
              <w:spacing w:after="120"/>
              <w:rPr>
                <w:szCs w:val="24"/>
              </w:rPr>
            </w:pPr>
          </w:p>
        </w:tc>
      </w:tr>
      <w:tr w:rsidR="0000691A" w:rsidRPr="00344129" w:rsidTr="003E2292">
        <w:trPr>
          <w:jc w:val="center"/>
        </w:trPr>
        <w:tc>
          <w:tcPr>
            <w:tcW w:w="3052" w:type="dxa"/>
          </w:tcPr>
          <w:p w:rsidR="0000691A" w:rsidRPr="00344129" w:rsidRDefault="0000691A" w:rsidP="002B1576">
            <w:pPr>
              <w:spacing w:after="120"/>
              <w:rPr>
                <w:szCs w:val="24"/>
              </w:rPr>
            </w:pPr>
            <w:proofErr w:type="spellStart"/>
            <w:r w:rsidRPr="00344129">
              <w:rPr>
                <w:szCs w:val="24"/>
              </w:rPr>
              <w:t>Rodrigues</w:t>
            </w:r>
            <w:proofErr w:type="spellEnd"/>
            <w:r w:rsidRPr="00344129">
              <w:rPr>
                <w:szCs w:val="24"/>
              </w:rPr>
              <w:t xml:space="preserve"> Water Co</w:t>
            </w:r>
            <w:r>
              <w:rPr>
                <w:szCs w:val="24"/>
              </w:rPr>
              <w:t>mpany</w:t>
            </w:r>
            <w:r w:rsidRPr="00344129">
              <w:rPr>
                <w:szCs w:val="24"/>
              </w:rPr>
              <w:t xml:space="preserve"> Ltd</w:t>
            </w:r>
          </w:p>
        </w:tc>
        <w:tc>
          <w:tcPr>
            <w:tcW w:w="2115" w:type="dxa"/>
            <w:vAlign w:val="bottom"/>
          </w:tcPr>
          <w:p w:rsidR="0000691A" w:rsidRPr="00344129" w:rsidRDefault="0000691A" w:rsidP="002B1576">
            <w:pPr>
              <w:spacing w:after="120"/>
              <w:rPr>
                <w:szCs w:val="24"/>
              </w:rPr>
            </w:pPr>
            <w:r>
              <w:rPr>
                <w:szCs w:val="24"/>
              </w:rPr>
              <w:t>29 October 20</w:t>
            </w:r>
            <w:r w:rsidRPr="00344129">
              <w:rPr>
                <w:szCs w:val="24"/>
              </w:rPr>
              <w:t>07</w:t>
            </w:r>
          </w:p>
        </w:tc>
        <w:tc>
          <w:tcPr>
            <w:tcW w:w="1650" w:type="dxa"/>
            <w:vAlign w:val="bottom"/>
          </w:tcPr>
          <w:p w:rsidR="0000691A" w:rsidRPr="00344129" w:rsidRDefault="0000691A" w:rsidP="002B1576">
            <w:pPr>
              <w:spacing w:after="120"/>
              <w:ind w:right="215"/>
              <w:jc w:val="right"/>
              <w:rPr>
                <w:szCs w:val="24"/>
              </w:rPr>
            </w:pPr>
            <w:r w:rsidRPr="00344129">
              <w:rPr>
                <w:szCs w:val="24"/>
              </w:rPr>
              <w:t>17,000,000</w:t>
            </w:r>
          </w:p>
        </w:tc>
        <w:tc>
          <w:tcPr>
            <w:tcW w:w="1508" w:type="dxa"/>
            <w:vAlign w:val="bottom"/>
          </w:tcPr>
          <w:p w:rsidR="0000691A" w:rsidRPr="00344129" w:rsidRDefault="0000691A" w:rsidP="002B1576">
            <w:pPr>
              <w:spacing w:after="120"/>
              <w:rPr>
                <w:szCs w:val="24"/>
              </w:rPr>
            </w:pPr>
            <w:r w:rsidRPr="00344129">
              <w:rPr>
                <w:szCs w:val="24"/>
              </w:rPr>
              <w:t>Aug</w:t>
            </w:r>
            <w:r>
              <w:rPr>
                <w:szCs w:val="24"/>
              </w:rPr>
              <w:t>ust 20</w:t>
            </w:r>
            <w:r w:rsidRPr="00344129">
              <w:rPr>
                <w:szCs w:val="24"/>
              </w:rPr>
              <w:t>12</w:t>
            </w:r>
          </w:p>
        </w:tc>
      </w:tr>
      <w:tr w:rsidR="0000691A" w:rsidRPr="00344129" w:rsidTr="00004AAA">
        <w:trPr>
          <w:jc w:val="center"/>
        </w:trPr>
        <w:tc>
          <w:tcPr>
            <w:tcW w:w="3052" w:type="dxa"/>
          </w:tcPr>
          <w:p w:rsidR="0000691A" w:rsidRPr="00344129" w:rsidRDefault="0000691A" w:rsidP="002B1576">
            <w:pPr>
              <w:spacing w:after="120"/>
              <w:rPr>
                <w:szCs w:val="24"/>
              </w:rPr>
            </w:pPr>
            <w:proofErr w:type="spellStart"/>
            <w:r w:rsidRPr="00344129">
              <w:rPr>
                <w:szCs w:val="24"/>
              </w:rPr>
              <w:t>Rodrigues</w:t>
            </w:r>
            <w:proofErr w:type="spellEnd"/>
            <w:r w:rsidRPr="00344129">
              <w:rPr>
                <w:szCs w:val="24"/>
              </w:rPr>
              <w:t xml:space="preserve"> Housing </w:t>
            </w:r>
            <w:r w:rsidR="00A35F3F">
              <w:rPr>
                <w:szCs w:val="24"/>
              </w:rPr>
              <w:t xml:space="preserve">&amp; Property </w:t>
            </w:r>
            <w:r w:rsidRPr="00344129">
              <w:rPr>
                <w:szCs w:val="24"/>
              </w:rPr>
              <w:t>Development Co</w:t>
            </w:r>
            <w:r>
              <w:rPr>
                <w:szCs w:val="24"/>
              </w:rPr>
              <w:t>mpany</w:t>
            </w:r>
            <w:r w:rsidRPr="00344129">
              <w:rPr>
                <w:szCs w:val="24"/>
              </w:rPr>
              <w:t xml:space="preserve"> Ltd</w:t>
            </w:r>
          </w:p>
        </w:tc>
        <w:tc>
          <w:tcPr>
            <w:tcW w:w="2115" w:type="dxa"/>
            <w:vAlign w:val="bottom"/>
          </w:tcPr>
          <w:p w:rsidR="0000691A" w:rsidRPr="00344129" w:rsidRDefault="0000691A" w:rsidP="002B1576">
            <w:pPr>
              <w:spacing w:after="120"/>
              <w:rPr>
                <w:szCs w:val="24"/>
              </w:rPr>
            </w:pPr>
            <w:r>
              <w:rPr>
                <w:szCs w:val="24"/>
              </w:rPr>
              <w:t>12 January 20</w:t>
            </w:r>
            <w:r w:rsidRPr="00344129">
              <w:rPr>
                <w:szCs w:val="24"/>
              </w:rPr>
              <w:t>10</w:t>
            </w:r>
          </w:p>
        </w:tc>
        <w:tc>
          <w:tcPr>
            <w:tcW w:w="1650" w:type="dxa"/>
            <w:vAlign w:val="bottom"/>
          </w:tcPr>
          <w:p w:rsidR="0000691A" w:rsidRPr="00344129" w:rsidRDefault="0000691A" w:rsidP="002B1576">
            <w:pPr>
              <w:spacing w:after="120"/>
              <w:ind w:right="215"/>
              <w:jc w:val="right"/>
              <w:rPr>
                <w:szCs w:val="24"/>
              </w:rPr>
            </w:pPr>
            <w:r w:rsidRPr="00344129">
              <w:rPr>
                <w:szCs w:val="24"/>
              </w:rPr>
              <w:t>3,000,000</w:t>
            </w:r>
          </w:p>
        </w:tc>
        <w:tc>
          <w:tcPr>
            <w:tcW w:w="1508" w:type="dxa"/>
            <w:vAlign w:val="bottom"/>
          </w:tcPr>
          <w:p w:rsidR="0000691A" w:rsidRPr="00344129" w:rsidRDefault="0000691A" w:rsidP="002B1576">
            <w:pPr>
              <w:spacing w:after="120"/>
              <w:rPr>
                <w:szCs w:val="24"/>
              </w:rPr>
            </w:pPr>
            <w:r w:rsidRPr="00344129">
              <w:rPr>
                <w:szCs w:val="24"/>
              </w:rPr>
              <w:t>Mar</w:t>
            </w:r>
            <w:r>
              <w:rPr>
                <w:szCs w:val="24"/>
              </w:rPr>
              <w:t>ch 20</w:t>
            </w:r>
            <w:r w:rsidRPr="00344129">
              <w:rPr>
                <w:szCs w:val="24"/>
              </w:rPr>
              <w:t>12</w:t>
            </w:r>
          </w:p>
        </w:tc>
      </w:tr>
      <w:tr w:rsidR="0000691A" w:rsidRPr="00344129" w:rsidTr="003E2292">
        <w:trPr>
          <w:trHeight w:val="270"/>
          <w:jc w:val="center"/>
        </w:trPr>
        <w:tc>
          <w:tcPr>
            <w:tcW w:w="3052" w:type="dxa"/>
          </w:tcPr>
          <w:p w:rsidR="0000691A" w:rsidRPr="00344129" w:rsidRDefault="0000691A" w:rsidP="002B1576">
            <w:pPr>
              <w:spacing w:after="120"/>
              <w:rPr>
                <w:b/>
                <w:szCs w:val="24"/>
              </w:rPr>
            </w:pPr>
            <w:r w:rsidRPr="00344129">
              <w:rPr>
                <w:b/>
                <w:szCs w:val="24"/>
              </w:rPr>
              <w:t>Total</w:t>
            </w:r>
          </w:p>
        </w:tc>
        <w:tc>
          <w:tcPr>
            <w:tcW w:w="2115" w:type="dxa"/>
          </w:tcPr>
          <w:p w:rsidR="0000691A" w:rsidRPr="00344129" w:rsidRDefault="0000691A" w:rsidP="002B1576">
            <w:pPr>
              <w:spacing w:after="120"/>
              <w:rPr>
                <w:szCs w:val="24"/>
              </w:rPr>
            </w:pPr>
          </w:p>
        </w:tc>
        <w:tc>
          <w:tcPr>
            <w:tcW w:w="1650" w:type="dxa"/>
          </w:tcPr>
          <w:p w:rsidR="0000691A" w:rsidRPr="001970A6" w:rsidRDefault="0000691A" w:rsidP="002B1576">
            <w:pPr>
              <w:spacing w:after="120"/>
              <w:ind w:right="215"/>
              <w:jc w:val="right"/>
              <w:rPr>
                <w:b/>
                <w:szCs w:val="24"/>
              </w:rPr>
            </w:pPr>
            <w:r w:rsidRPr="001970A6">
              <w:rPr>
                <w:b/>
                <w:szCs w:val="24"/>
              </w:rPr>
              <w:t>42,639,590</w:t>
            </w:r>
          </w:p>
        </w:tc>
        <w:tc>
          <w:tcPr>
            <w:tcW w:w="1508" w:type="dxa"/>
          </w:tcPr>
          <w:p w:rsidR="0000691A" w:rsidRPr="00344129" w:rsidRDefault="0000691A" w:rsidP="002B1576">
            <w:pPr>
              <w:spacing w:after="120"/>
              <w:jc w:val="center"/>
              <w:rPr>
                <w:szCs w:val="24"/>
              </w:rPr>
            </w:pPr>
          </w:p>
        </w:tc>
      </w:tr>
    </w:tbl>
    <w:p w:rsidR="0000691A" w:rsidRDefault="0000691A" w:rsidP="002B1576">
      <w:pPr>
        <w:pBdr>
          <w:bottom w:val="single" w:sz="4" w:space="1" w:color="auto"/>
        </w:pBdr>
        <w:jc w:val="both"/>
        <w:rPr>
          <w:szCs w:val="24"/>
        </w:rPr>
      </w:pPr>
    </w:p>
    <w:p w:rsidR="00004AAA" w:rsidRDefault="00004AAA" w:rsidP="002B1576">
      <w:pPr>
        <w:jc w:val="both"/>
        <w:rPr>
          <w:szCs w:val="24"/>
        </w:rPr>
      </w:pPr>
    </w:p>
    <w:p w:rsidR="0000691A" w:rsidRDefault="0000691A" w:rsidP="002B1576">
      <w:pPr>
        <w:jc w:val="both"/>
        <w:rPr>
          <w:szCs w:val="24"/>
        </w:rPr>
      </w:pPr>
      <w:r w:rsidRPr="00344129">
        <w:rPr>
          <w:szCs w:val="24"/>
        </w:rPr>
        <w:t>Five of the seven companies are fully owned by RRA</w:t>
      </w:r>
      <w:r>
        <w:rPr>
          <w:szCs w:val="24"/>
        </w:rPr>
        <w:t>, being the sole shareholder. RRA and State</w:t>
      </w:r>
      <w:r w:rsidRPr="00344129">
        <w:rPr>
          <w:szCs w:val="24"/>
        </w:rPr>
        <w:t xml:space="preserve"> Trading Corporation </w:t>
      </w:r>
      <w:r>
        <w:rPr>
          <w:szCs w:val="24"/>
        </w:rPr>
        <w:t xml:space="preserve">are shareholders in the </w:t>
      </w:r>
      <w:proofErr w:type="spellStart"/>
      <w:r w:rsidRPr="00344129">
        <w:rPr>
          <w:szCs w:val="24"/>
        </w:rPr>
        <w:t>Rodrigues</w:t>
      </w:r>
      <w:proofErr w:type="spellEnd"/>
      <w:r w:rsidRPr="00344129">
        <w:rPr>
          <w:szCs w:val="24"/>
        </w:rPr>
        <w:t xml:space="preserve"> Trading and Marketing Co</w:t>
      </w:r>
      <w:r>
        <w:rPr>
          <w:szCs w:val="24"/>
        </w:rPr>
        <w:t>mpany</w:t>
      </w:r>
      <w:r w:rsidRPr="00344129">
        <w:rPr>
          <w:szCs w:val="24"/>
        </w:rPr>
        <w:t xml:space="preserve"> Ltd </w:t>
      </w:r>
      <w:r>
        <w:rPr>
          <w:szCs w:val="24"/>
        </w:rPr>
        <w:t xml:space="preserve">in the proportion of 60:40, whilst RRA, </w:t>
      </w:r>
      <w:r w:rsidRPr="00344129">
        <w:rPr>
          <w:szCs w:val="24"/>
        </w:rPr>
        <w:t>Gover</w:t>
      </w:r>
      <w:r>
        <w:rPr>
          <w:szCs w:val="24"/>
        </w:rPr>
        <w:t>nment of Mauritius and</w:t>
      </w:r>
      <w:r w:rsidRPr="00344129">
        <w:rPr>
          <w:szCs w:val="24"/>
        </w:rPr>
        <w:t xml:space="preserve"> State Investment Corporation Co</w:t>
      </w:r>
      <w:r>
        <w:rPr>
          <w:szCs w:val="24"/>
        </w:rPr>
        <w:t>mpany</w:t>
      </w:r>
      <w:r w:rsidRPr="00344129">
        <w:rPr>
          <w:szCs w:val="24"/>
        </w:rPr>
        <w:t xml:space="preserve"> Ltd</w:t>
      </w:r>
      <w:r>
        <w:rPr>
          <w:szCs w:val="24"/>
        </w:rPr>
        <w:t xml:space="preserve"> are shareholders in REDCO in the proportion of 51:29:20.</w:t>
      </w:r>
    </w:p>
    <w:p w:rsidR="0000691A" w:rsidRDefault="0000691A" w:rsidP="002B1576">
      <w:pPr>
        <w:jc w:val="both"/>
        <w:rPr>
          <w:b/>
          <w:i/>
          <w:szCs w:val="24"/>
        </w:rPr>
      </w:pPr>
    </w:p>
    <w:p w:rsidR="0000691A" w:rsidRDefault="0000691A" w:rsidP="002B1576">
      <w:pPr>
        <w:jc w:val="both"/>
        <w:rPr>
          <w:b/>
          <w:i/>
          <w:szCs w:val="24"/>
        </w:rPr>
      </w:pPr>
    </w:p>
    <w:p w:rsidR="0000691A" w:rsidRDefault="00CC449F" w:rsidP="002B1576">
      <w:pPr>
        <w:jc w:val="both"/>
        <w:rPr>
          <w:b/>
          <w:i/>
          <w:szCs w:val="24"/>
        </w:rPr>
      </w:pPr>
      <w:r>
        <w:rPr>
          <w:b/>
          <w:i/>
          <w:szCs w:val="24"/>
        </w:rPr>
        <w:t xml:space="preserve">2.5.1 </w:t>
      </w:r>
      <w:r w:rsidR="0024127B">
        <w:rPr>
          <w:b/>
          <w:i/>
          <w:szCs w:val="24"/>
        </w:rPr>
        <w:t xml:space="preserve"> </w:t>
      </w:r>
      <w:r w:rsidR="0000691A">
        <w:rPr>
          <w:b/>
          <w:i/>
          <w:szCs w:val="24"/>
        </w:rPr>
        <w:t>Winding up of Companies</w:t>
      </w:r>
    </w:p>
    <w:p w:rsidR="0000691A" w:rsidRPr="00501723" w:rsidRDefault="0000691A" w:rsidP="002B1576">
      <w:pPr>
        <w:jc w:val="both"/>
        <w:rPr>
          <w:b/>
          <w:i/>
          <w:szCs w:val="24"/>
        </w:rPr>
      </w:pPr>
    </w:p>
    <w:p w:rsidR="0000691A" w:rsidRDefault="0000691A" w:rsidP="002B1576">
      <w:pPr>
        <w:jc w:val="both"/>
        <w:rPr>
          <w:szCs w:val="24"/>
        </w:rPr>
      </w:pPr>
      <w:r w:rsidRPr="00344129">
        <w:rPr>
          <w:szCs w:val="24"/>
        </w:rPr>
        <w:t xml:space="preserve">Three companies, namely </w:t>
      </w:r>
      <w:proofErr w:type="spellStart"/>
      <w:r w:rsidRPr="00344129">
        <w:rPr>
          <w:szCs w:val="24"/>
        </w:rPr>
        <w:t>Rodrigues</w:t>
      </w:r>
      <w:proofErr w:type="spellEnd"/>
      <w:r w:rsidRPr="00344129">
        <w:rPr>
          <w:szCs w:val="24"/>
        </w:rPr>
        <w:t xml:space="preserve"> General Fishing Co</w:t>
      </w:r>
      <w:r>
        <w:rPr>
          <w:szCs w:val="24"/>
        </w:rPr>
        <w:t>mpany</w:t>
      </w:r>
      <w:r w:rsidR="00F55F26">
        <w:rPr>
          <w:szCs w:val="24"/>
        </w:rPr>
        <w:t xml:space="preserve"> Ltd</w:t>
      </w:r>
      <w:r w:rsidRPr="00344129">
        <w:rPr>
          <w:szCs w:val="24"/>
        </w:rPr>
        <w:t xml:space="preserve">, </w:t>
      </w:r>
      <w:proofErr w:type="spellStart"/>
      <w:r w:rsidRPr="00344129">
        <w:rPr>
          <w:szCs w:val="24"/>
        </w:rPr>
        <w:t>Rodrigues</w:t>
      </w:r>
      <w:proofErr w:type="spellEnd"/>
      <w:r w:rsidRPr="00344129">
        <w:rPr>
          <w:szCs w:val="24"/>
        </w:rPr>
        <w:t xml:space="preserve"> Water Co</w:t>
      </w:r>
      <w:r>
        <w:rPr>
          <w:szCs w:val="24"/>
        </w:rPr>
        <w:t>mpany</w:t>
      </w:r>
      <w:r w:rsidRPr="00344129">
        <w:rPr>
          <w:szCs w:val="24"/>
        </w:rPr>
        <w:t xml:space="preserve"> Ltd and </w:t>
      </w:r>
      <w:proofErr w:type="spellStart"/>
      <w:r w:rsidRPr="00344129">
        <w:rPr>
          <w:szCs w:val="24"/>
        </w:rPr>
        <w:t>Rodrigues</w:t>
      </w:r>
      <w:proofErr w:type="spellEnd"/>
      <w:r w:rsidRPr="00344129">
        <w:rPr>
          <w:szCs w:val="24"/>
        </w:rPr>
        <w:t xml:space="preserve"> Housing and Property Development Co</w:t>
      </w:r>
      <w:r>
        <w:rPr>
          <w:szCs w:val="24"/>
        </w:rPr>
        <w:t>mpany</w:t>
      </w:r>
      <w:r w:rsidR="00EE15AD">
        <w:rPr>
          <w:szCs w:val="24"/>
        </w:rPr>
        <w:t xml:space="preserve"> </w:t>
      </w:r>
      <w:r w:rsidRPr="00344129">
        <w:rPr>
          <w:szCs w:val="24"/>
        </w:rPr>
        <w:t>(RHPDC)</w:t>
      </w:r>
      <w:r w:rsidR="00F55F26">
        <w:rPr>
          <w:szCs w:val="24"/>
        </w:rPr>
        <w:t xml:space="preserve"> Ltd </w:t>
      </w:r>
      <w:r w:rsidRPr="00344129">
        <w:rPr>
          <w:szCs w:val="24"/>
        </w:rPr>
        <w:t>were in the process of winding up</w:t>
      </w:r>
      <w:r>
        <w:rPr>
          <w:szCs w:val="24"/>
        </w:rPr>
        <w:t xml:space="preserve"> since 2012</w:t>
      </w:r>
      <w:r w:rsidRPr="00344129">
        <w:rPr>
          <w:szCs w:val="24"/>
        </w:rPr>
        <w:t>. RRA has invested Rs 26</w:t>
      </w:r>
      <w:r>
        <w:rPr>
          <w:szCs w:val="24"/>
        </w:rPr>
        <w:t>,</w:t>
      </w:r>
      <w:r w:rsidRPr="00344129">
        <w:rPr>
          <w:szCs w:val="24"/>
        </w:rPr>
        <w:t>4</w:t>
      </w:r>
      <w:r>
        <w:rPr>
          <w:szCs w:val="24"/>
        </w:rPr>
        <w:t xml:space="preserve">00,000 </w:t>
      </w:r>
      <w:r w:rsidRPr="00344129">
        <w:rPr>
          <w:szCs w:val="24"/>
        </w:rPr>
        <w:t>in shares</w:t>
      </w:r>
      <w:r>
        <w:rPr>
          <w:szCs w:val="24"/>
        </w:rPr>
        <w:t xml:space="preserve"> and </w:t>
      </w:r>
      <w:r w:rsidR="003A413A">
        <w:rPr>
          <w:szCs w:val="24"/>
        </w:rPr>
        <w:t xml:space="preserve">contributed </w:t>
      </w:r>
      <w:r>
        <w:rPr>
          <w:szCs w:val="24"/>
        </w:rPr>
        <w:t>Rs 41,171,568</w:t>
      </w:r>
      <w:r w:rsidRPr="00055F3E">
        <w:rPr>
          <w:szCs w:val="24"/>
        </w:rPr>
        <w:t xml:space="preserve"> </w:t>
      </w:r>
      <w:r>
        <w:rPr>
          <w:szCs w:val="24"/>
        </w:rPr>
        <w:t>as</w:t>
      </w:r>
      <w:r w:rsidRPr="00055F3E">
        <w:rPr>
          <w:szCs w:val="24"/>
        </w:rPr>
        <w:t xml:space="preserve"> grant to meet the operating cost of these companies</w:t>
      </w:r>
      <w:r>
        <w:rPr>
          <w:szCs w:val="24"/>
        </w:rPr>
        <w:t xml:space="preserve"> as of </w:t>
      </w:r>
      <w:r w:rsidR="00A15EB2">
        <w:rPr>
          <w:szCs w:val="24"/>
        </w:rPr>
        <w:br/>
      </w:r>
      <w:r>
        <w:rPr>
          <w:szCs w:val="24"/>
        </w:rPr>
        <w:t>31 December 2013.</w:t>
      </w:r>
    </w:p>
    <w:p w:rsidR="0000691A" w:rsidRPr="00055F3E" w:rsidRDefault="0000691A" w:rsidP="002B1576">
      <w:pPr>
        <w:jc w:val="both"/>
        <w:rPr>
          <w:szCs w:val="24"/>
        </w:rPr>
      </w:pPr>
    </w:p>
    <w:p w:rsidR="0000691A" w:rsidRDefault="0000691A" w:rsidP="002B1576">
      <w:pPr>
        <w:jc w:val="both"/>
        <w:rPr>
          <w:szCs w:val="24"/>
        </w:rPr>
      </w:pPr>
      <w:r>
        <w:rPr>
          <w:szCs w:val="24"/>
        </w:rPr>
        <w:t>As of 30</w:t>
      </w:r>
      <w:r w:rsidRPr="004D3AF0">
        <w:rPr>
          <w:szCs w:val="24"/>
        </w:rPr>
        <w:t xml:space="preserve"> April 201</w:t>
      </w:r>
      <w:r>
        <w:rPr>
          <w:szCs w:val="24"/>
        </w:rPr>
        <w:t>4</w:t>
      </w:r>
      <w:r w:rsidRPr="004D3AF0">
        <w:rPr>
          <w:szCs w:val="24"/>
        </w:rPr>
        <w:t xml:space="preserve">, </w:t>
      </w:r>
      <w:r>
        <w:rPr>
          <w:szCs w:val="24"/>
        </w:rPr>
        <w:t xml:space="preserve">the three companies have </w:t>
      </w:r>
      <w:r w:rsidRPr="004D3AF0">
        <w:rPr>
          <w:szCs w:val="24"/>
        </w:rPr>
        <w:t xml:space="preserve">still </w:t>
      </w:r>
      <w:r>
        <w:rPr>
          <w:szCs w:val="24"/>
        </w:rPr>
        <w:t>not been wound up.</w:t>
      </w:r>
    </w:p>
    <w:p w:rsidR="0000691A" w:rsidRDefault="0000691A" w:rsidP="002B1576">
      <w:pPr>
        <w:jc w:val="both"/>
        <w:rPr>
          <w:szCs w:val="24"/>
        </w:rPr>
      </w:pPr>
    </w:p>
    <w:p w:rsidR="002C0CE4" w:rsidRDefault="002C0CE4" w:rsidP="002B1576">
      <w:pPr>
        <w:jc w:val="both"/>
        <w:rPr>
          <w:szCs w:val="24"/>
        </w:rPr>
      </w:pPr>
    </w:p>
    <w:p w:rsidR="0089293B" w:rsidRDefault="0089293B" w:rsidP="002B1576">
      <w:pPr>
        <w:jc w:val="both"/>
        <w:rPr>
          <w:szCs w:val="24"/>
        </w:rPr>
      </w:pPr>
    </w:p>
    <w:p w:rsidR="0000691A" w:rsidRDefault="00CC449F" w:rsidP="002B1576">
      <w:pPr>
        <w:jc w:val="both"/>
        <w:rPr>
          <w:b/>
          <w:i/>
          <w:szCs w:val="24"/>
        </w:rPr>
      </w:pPr>
      <w:r>
        <w:rPr>
          <w:b/>
          <w:i/>
          <w:szCs w:val="24"/>
        </w:rPr>
        <w:lastRenderedPageBreak/>
        <w:t xml:space="preserve">2.5.2 </w:t>
      </w:r>
      <w:r w:rsidR="004A483D">
        <w:rPr>
          <w:b/>
          <w:i/>
          <w:szCs w:val="24"/>
        </w:rPr>
        <w:t xml:space="preserve"> </w:t>
      </w:r>
      <w:r w:rsidR="0000691A" w:rsidRPr="00685D89">
        <w:rPr>
          <w:b/>
          <w:i/>
          <w:szCs w:val="24"/>
        </w:rPr>
        <w:t>Return on Investment</w:t>
      </w:r>
    </w:p>
    <w:p w:rsidR="0000691A" w:rsidRPr="00685D89" w:rsidRDefault="0000691A" w:rsidP="002B1576">
      <w:pPr>
        <w:jc w:val="both"/>
        <w:rPr>
          <w:b/>
          <w:i/>
          <w:szCs w:val="24"/>
        </w:rPr>
      </w:pPr>
    </w:p>
    <w:p w:rsidR="0000691A" w:rsidRDefault="0000691A" w:rsidP="002B1576">
      <w:pPr>
        <w:jc w:val="both"/>
        <w:rPr>
          <w:szCs w:val="24"/>
        </w:rPr>
      </w:pPr>
      <w:r w:rsidRPr="00344129">
        <w:rPr>
          <w:szCs w:val="24"/>
        </w:rPr>
        <w:t>The RRA has so far not received any dividend from investments made in these companies.</w:t>
      </w:r>
    </w:p>
    <w:p w:rsidR="0000691A" w:rsidRDefault="0000691A" w:rsidP="002B1576">
      <w:pPr>
        <w:jc w:val="both"/>
        <w:rPr>
          <w:szCs w:val="24"/>
        </w:rPr>
      </w:pPr>
    </w:p>
    <w:p w:rsidR="00004AAA" w:rsidRDefault="00004AAA" w:rsidP="002B1576">
      <w:pPr>
        <w:jc w:val="both"/>
        <w:rPr>
          <w:szCs w:val="24"/>
        </w:rPr>
      </w:pPr>
    </w:p>
    <w:p w:rsidR="0000691A" w:rsidRDefault="00CC449F" w:rsidP="002B1576">
      <w:pPr>
        <w:jc w:val="both"/>
        <w:rPr>
          <w:b/>
          <w:color w:val="000000"/>
          <w:szCs w:val="24"/>
        </w:rPr>
      </w:pPr>
      <w:r>
        <w:rPr>
          <w:b/>
          <w:szCs w:val="24"/>
        </w:rPr>
        <w:t xml:space="preserve">2.6 </w:t>
      </w:r>
      <w:r w:rsidR="004A483D">
        <w:rPr>
          <w:b/>
          <w:szCs w:val="24"/>
        </w:rPr>
        <w:t xml:space="preserve"> </w:t>
      </w:r>
      <w:r w:rsidR="0000691A" w:rsidRPr="003F2E22">
        <w:rPr>
          <w:b/>
          <w:szCs w:val="24"/>
        </w:rPr>
        <w:t xml:space="preserve">Statement of Arrears of Revenue </w:t>
      </w:r>
      <w:r w:rsidR="0000691A">
        <w:rPr>
          <w:b/>
          <w:szCs w:val="24"/>
        </w:rPr>
        <w:t xml:space="preserve">– </w:t>
      </w:r>
      <w:r w:rsidR="0000691A" w:rsidRPr="009A163F">
        <w:rPr>
          <w:b/>
          <w:szCs w:val="24"/>
        </w:rPr>
        <w:t xml:space="preserve">Rs </w:t>
      </w:r>
      <w:r w:rsidR="0000691A" w:rsidRPr="009A163F">
        <w:rPr>
          <w:b/>
          <w:color w:val="000000"/>
          <w:szCs w:val="24"/>
        </w:rPr>
        <w:t>25,430,841</w:t>
      </w:r>
    </w:p>
    <w:p w:rsidR="0000691A" w:rsidRPr="009A163F" w:rsidRDefault="0000691A" w:rsidP="002B1576">
      <w:pPr>
        <w:jc w:val="both"/>
        <w:rPr>
          <w:color w:val="000000"/>
          <w:szCs w:val="24"/>
        </w:rPr>
      </w:pPr>
    </w:p>
    <w:p w:rsidR="0000691A" w:rsidRDefault="0000691A" w:rsidP="002B1576">
      <w:pPr>
        <w:jc w:val="both"/>
        <w:rPr>
          <w:szCs w:val="24"/>
        </w:rPr>
      </w:pPr>
      <w:r w:rsidRPr="003F2E22">
        <w:rPr>
          <w:szCs w:val="24"/>
        </w:rPr>
        <w:t xml:space="preserve">The arrears of revenue for the past </w:t>
      </w:r>
      <w:r>
        <w:rPr>
          <w:szCs w:val="24"/>
        </w:rPr>
        <w:t>three fiscal years are listed</w:t>
      </w:r>
      <w:r w:rsidR="00127B02">
        <w:rPr>
          <w:szCs w:val="24"/>
        </w:rPr>
        <w:t xml:space="preserve"> in Table</w:t>
      </w:r>
      <w:r w:rsidR="00725B15">
        <w:rPr>
          <w:szCs w:val="24"/>
        </w:rPr>
        <w:t xml:space="preserve"> 6</w:t>
      </w:r>
      <w:r w:rsidRPr="003F2E22">
        <w:rPr>
          <w:szCs w:val="24"/>
        </w:rPr>
        <w:t>.</w:t>
      </w:r>
    </w:p>
    <w:p w:rsidR="0000691A" w:rsidRPr="003F2E22" w:rsidRDefault="0000691A" w:rsidP="002B1576">
      <w:pPr>
        <w:jc w:val="both"/>
        <w:rPr>
          <w:szCs w:val="24"/>
        </w:rPr>
      </w:pPr>
    </w:p>
    <w:p w:rsidR="0000691A" w:rsidRDefault="00413372" w:rsidP="002B1576">
      <w:pPr>
        <w:jc w:val="center"/>
        <w:rPr>
          <w:i/>
          <w:szCs w:val="24"/>
        </w:rPr>
      </w:pPr>
      <w:bookmarkStart w:id="0" w:name="_Hlk328858876"/>
      <w:bookmarkStart w:id="1" w:name="_Hlk328048345"/>
      <w:r>
        <w:rPr>
          <w:i/>
          <w:szCs w:val="24"/>
        </w:rPr>
        <w:t xml:space="preserve">Table 6  </w:t>
      </w:r>
      <w:r w:rsidR="0000691A" w:rsidRPr="008C0A96">
        <w:rPr>
          <w:i/>
          <w:szCs w:val="24"/>
        </w:rPr>
        <w:t xml:space="preserve">Arrears of Revenue for the </w:t>
      </w:r>
      <w:r w:rsidR="0000691A">
        <w:rPr>
          <w:i/>
          <w:szCs w:val="24"/>
        </w:rPr>
        <w:t>p</w:t>
      </w:r>
      <w:r w:rsidR="0000691A" w:rsidRPr="008C0A96">
        <w:rPr>
          <w:i/>
          <w:szCs w:val="24"/>
        </w:rPr>
        <w:t>ast</w:t>
      </w:r>
      <w:r w:rsidR="0000691A">
        <w:rPr>
          <w:i/>
          <w:szCs w:val="24"/>
        </w:rPr>
        <w:t xml:space="preserve"> t</w:t>
      </w:r>
      <w:r w:rsidR="0000691A" w:rsidRPr="008C0A96">
        <w:rPr>
          <w:i/>
          <w:szCs w:val="24"/>
        </w:rPr>
        <w:t xml:space="preserve">hree </w:t>
      </w:r>
      <w:r w:rsidR="0000691A">
        <w:rPr>
          <w:i/>
          <w:szCs w:val="24"/>
        </w:rPr>
        <w:t>f</w:t>
      </w:r>
      <w:r w:rsidR="0000691A" w:rsidRPr="008C0A96">
        <w:rPr>
          <w:i/>
          <w:szCs w:val="24"/>
        </w:rPr>
        <w:t xml:space="preserve">iscal </w:t>
      </w:r>
      <w:r w:rsidR="0000691A">
        <w:rPr>
          <w:i/>
          <w:szCs w:val="24"/>
        </w:rPr>
        <w:t>years</w:t>
      </w:r>
      <w:bookmarkEnd w:id="0"/>
    </w:p>
    <w:p w:rsidR="00127B02" w:rsidRDefault="00127B02" w:rsidP="002B1576">
      <w:pPr>
        <w:jc w:val="center"/>
        <w:rPr>
          <w:i/>
          <w:szCs w:val="24"/>
        </w:rPr>
      </w:pPr>
    </w:p>
    <w:p w:rsidR="00127B02" w:rsidRPr="008C0A96" w:rsidRDefault="00127B02" w:rsidP="002B1576">
      <w:pPr>
        <w:pBdr>
          <w:top w:val="single" w:sz="4" w:space="1" w:color="auto"/>
        </w:pBdr>
        <w:jc w:val="center"/>
        <w:rPr>
          <w:i/>
          <w:szCs w:val="24"/>
        </w:rPr>
      </w:pPr>
    </w:p>
    <w:tbl>
      <w:tblPr>
        <w:tblW w:w="8226" w:type="dxa"/>
        <w:jc w:val="center"/>
        <w:tblInd w:w="77" w:type="dxa"/>
        <w:tblLook w:val="01E0"/>
      </w:tblPr>
      <w:tblGrid>
        <w:gridCol w:w="3543"/>
        <w:gridCol w:w="1561"/>
        <w:gridCol w:w="1561"/>
        <w:gridCol w:w="1561"/>
      </w:tblGrid>
      <w:tr w:rsidR="0000691A" w:rsidRPr="003F2E22" w:rsidTr="00127B02">
        <w:trPr>
          <w:trHeight w:val="738"/>
          <w:jc w:val="center"/>
        </w:trPr>
        <w:tc>
          <w:tcPr>
            <w:tcW w:w="3543" w:type="dxa"/>
          </w:tcPr>
          <w:p w:rsidR="0000691A" w:rsidRPr="003F2E22" w:rsidRDefault="0000691A" w:rsidP="002B1576">
            <w:pPr>
              <w:spacing w:before="120"/>
              <w:jc w:val="center"/>
              <w:rPr>
                <w:b/>
                <w:szCs w:val="24"/>
              </w:rPr>
            </w:pPr>
            <w:bookmarkStart w:id="2" w:name="OLE_LINK1"/>
            <w:bookmarkStart w:id="3" w:name="OLE_LINK2"/>
            <w:bookmarkEnd w:id="1"/>
            <w:r w:rsidRPr="003F2E22">
              <w:rPr>
                <w:b/>
                <w:szCs w:val="24"/>
              </w:rPr>
              <w:t>Division/Unit</w:t>
            </w:r>
          </w:p>
        </w:tc>
        <w:tc>
          <w:tcPr>
            <w:tcW w:w="1561" w:type="dxa"/>
          </w:tcPr>
          <w:p w:rsidR="00127B02" w:rsidRDefault="0000691A" w:rsidP="002B1576">
            <w:pPr>
              <w:spacing w:before="120"/>
              <w:jc w:val="center"/>
              <w:rPr>
                <w:b/>
                <w:szCs w:val="24"/>
              </w:rPr>
            </w:pPr>
            <w:r w:rsidRPr="003F2E22">
              <w:rPr>
                <w:b/>
                <w:szCs w:val="24"/>
              </w:rPr>
              <w:t>2013</w:t>
            </w:r>
          </w:p>
          <w:p w:rsidR="0000691A" w:rsidRPr="003F2E22" w:rsidRDefault="0000691A" w:rsidP="002B1576">
            <w:pPr>
              <w:spacing w:before="120"/>
              <w:jc w:val="center"/>
              <w:rPr>
                <w:b/>
                <w:szCs w:val="24"/>
              </w:rPr>
            </w:pPr>
            <w:r>
              <w:rPr>
                <w:b/>
                <w:szCs w:val="24"/>
              </w:rPr>
              <w:t>Rs</w:t>
            </w:r>
          </w:p>
        </w:tc>
        <w:tc>
          <w:tcPr>
            <w:tcW w:w="1561" w:type="dxa"/>
          </w:tcPr>
          <w:p w:rsidR="0000691A" w:rsidRPr="003F2E22" w:rsidRDefault="0000691A" w:rsidP="002B1576">
            <w:pPr>
              <w:spacing w:before="120"/>
              <w:jc w:val="center"/>
              <w:rPr>
                <w:b/>
                <w:szCs w:val="24"/>
              </w:rPr>
            </w:pPr>
            <w:r w:rsidRPr="003F2E22">
              <w:rPr>
                <w:b/>
                <w:szCs w:val="24"/>
              </w:rPr>
              <w:t>2012</w:t>
            </w:r>
          </w:p>
          <w:p w:rsidR="0000691A" w:rsidRPr="003F2E22" w:rsidRDefault="0000691A" w:rsidP="002B1576">
            <w:pPr>
              <w:spacing w:before="120"/>
              <w:jc w:val="center"/>
              <w:rPr>
                <w:b/>
                <w:szCs w:val="24"/>
              </w:rPr>
            </w:pPr>
            <w:r w:rsidRPr="003F2E22">
              <w:rPr>
                <w:b/>
                <w:szCs w:val="24"/>
              </w:rPr>
              <w:t>Rs</w:t>
            </w:r>
          </w:p>
        </w:tc>
        <w:tc>
          <w:tcPr>
            <w:tcW w:w="1561" w:type="dxa"/>
          </w:tcPr>
          <w:p w:rsidR="0000691A" w:rsidRPr="003F2E22" w:rsidRDefault="0000691A" w:rsidP="002B1576">
            <w:pPr>
              <w:spacing w:before="120"/>
              <w:jc w:val="center"/>
              <w:rPr>
                <w:b/>
                <w:szCs w:val="24"/>
              </w:rPr>
            </w:pPr>
            <w:r w:rsidRPr="003F2E22">
              <w:rPr>
                <w:b/>
                <w:szCs w:val="24"/>
              </w:rPr>
              <w:t>2011</w:t>
            </w:r>
          </w:p>
          <w:p w:rsidR="0000691A" w:rsidRPr="003F2E22" w:rsidRDefault="0000691A" w:rsidP="002B1576">
            <w:pPr>
              <w:spacing w:before="120"/>
              <w:jc w:val="center"/>
              <w:rPr>
                <w:b/>
                <w:szCs w:val="24"/>
              </w:rPr>
            </w:pPr>
            <w:r w:rsidRPr="003F2E22">
              <w:rPr>
                <w:b/>
                <w:szCs w:val="24"/>
              </w:rPr>
              <w:t>Rs</w:t>
            </w:r>
          </w:p>
        </w:tc>
      </w:tr>
      <w:tr w:rsidR="0000691A" w:rsidRPr="003F2E22" w:rsidTr="00127B02">
        <w:trPr>
          <w:trHeight w:val="432"/>
          <w:jc w:val="center"/>
        </w:trPr>
        <w:tc>
          <w:tcPr>
            <w:tcW w:w="3543" w:type="dxa"/>
          </w:tcPr>
          <w:p w:rsidR="0000691A" w:rsidRPr="003F2E22" w:rsidRDefault="0000691A" w:rsidP="002B1576">
            <w:pPr>
              <w:spacing w:before="120"/>
              <w:jc w:val="both"/>
              <w:rPr>
                <w:szCs w:val="24"/>
              </w:rPr>
            </w:pPr>
            <w:r w:rsidRPr="003F2E22">
              <w:rPr>
                <w:szCs w:val="24"/>
              </w:rPr>
              <w:t>Fisheries</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78,526</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68,476</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62,661</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Judicial</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153,600</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1,103,927</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926,827</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color w:val="000000"/>
                <w:szCs w:val="24"/>
              </w:rPr>
            </w:pPr>
            <w:r w:rsidRPr="003F2E22">
              <w:rPr>
                <w:szCs w:val="24"/>
              </w:rPr>
              <w:t>Rental of Government Property</w:t>
            </w:r>
            <w:r w:rsidRPr="003F2E22">
              <w:rPr>
                <w:color w:val="000000"/>
                <w:szCs w:val="24"/>
              </w:rPr>
              <w:t xml:space="preserve"> </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20,118,769</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23,392,403</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12,247,832</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State Land - Old leases</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1,469,834</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1,469,834</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1,469,834</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Water Unit</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2,021,972</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1,893,287</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1,772,091</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Health and Sanitary</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81,025</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720</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1,170</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 xml:space="preserve">Rental of Snacks/Market Stalls </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594,203</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627,203</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 xml:space="preserve">594,203 </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NHDC Houses</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881,025</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745,670</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545,260</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Rental kiosk</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19,000</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63,750</w:t>
            </w:r>
          </w:p>
        </w:tc>
        <w:tc>
          <w:tcPr>
            <w:tcW w:w="1561" w:type="dxa"/>
          </w:tcPr>
          <w:p w:rsidR="0000691A" w:rsidRPr="003F2E22" w:rsidRDefault="0000691A" w:rsidP="002B1576">
            <w:pPr>
              <w:tabs>
                <w:tab w:val="left" w:pos="1004"/>
              </w:tabs>
              <w:spacing w:before="120" w:after="100" w:afterAutospacing="1"/>
              <w:ind w:right="265"/>
              <w:jc w:val="center"/>
              <w:rPr>
                <w:szCs w:val="24"/>
              </w:rPr>
            </w:pPr>
            <w:r w:rsidRPr="003F2E22">
              <w:rPr>
                <w:szCs w:val="24"/>
              </w:rPr>
              <w:t>-</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szCs w:val="24"/>
              </w:rPr>
            </w:pPr>
            <w:r w:rsidRPr="003F2E22">
              <w:rPr>
                <w:szCs w:val="24"/>
              </w:rPr>
              <w:t>Sand Removal</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12,887</w:t>
            </w:r>
          </w:p>
        </w:tc>
        <w:tc>
          <w:tcPr>
            <w:tcW w:w="1561" w:type="dxa"/>
          </w:tcPr>
          <w:p w:rsidR="0000691A" w:rsidRPr="003F2E22" w:rsidRDefault="0000691A" w:rsidP="002B1576">
            <w:pPr>
              <w:tabs>
                <w:tab w:val="left" w:pos="1004"/>
              </w:tabs>
              <w:spacing w:before="120" w:after="100" w:afterAutospacing="1"/>
              <w:ind w:right="265"/>
              <w:jc w:val="right"/>
              <w:rPr>
                <w:szCs w:val="24"/>
              </w:rPr>
            </w:pPr>
            <w:r w:rsidRPr="003F2E22">
              <w:rPr>
                <w:szCs w:val="24"/>
              </w:rPr>
              <w:t>12,686</w:t>
            </w:r>
          </w:p>
        </w:tc>
        <w:tc>
          <w:tcPr>
            <w:tcW w:w="1561" w:type="dxa"/>
          </w:tcPr>
          <w:p w:rsidR="0000691A" w:rsidRPr="003F2E22" w:rsidRDefault="0000691A" w:rsidP="002B1576">
            <w:pPr>
              <w:tabs>
                <w:tab w:val="left" w:pos="1004"/>
              </w:tabs>
              <w:spacing w:before="120" w:after="100" w:afterAutospacing="1"/>
              <w:ind w:right="265"/>
              <w:jc w:val="center"/>
              <w:rPr>
                <w:szCs w:val="24"/>
              </w:rPr>
            </w:pPr>
            <w:r w:rsidRPr="003F2E22">
              <w:rPr>
                <w:szCs w:val="24"/>
              </w:rPr>
              <w:t>-</w:t>
            </w:r>
          </w:p>
        </w:tc>
      </w:tr>
      <w:tr w:rsidR="0000691A" w:rsidRPr="003F2E22" w:rsidTr="00127B02">
        <w:trPr>
          <w:trHeight w:val="432"/>
          <w:jc w:val="center"/>
        </w:trPr>
        <w:tc>
          <w:tcPr>
            <w:tcW w:w="3543" w:type="dxa"/>
          </w:tcPr>
          <w:p w:rsidR="0000691A" w:rsidRPr="003F2E22" w:rsidRDefault="0000691A" w:rsidP="002B1576">
            <w:pPr>
              <w:spacing w:before="120" w:after="100" w:afterAutospacing="1"/>
              <w:jc w:val="both"/>
              <w:rPr>
                <w:b/>
                <w:szCs w:val="24"/>
              </w:rPr>
            </w:pPr>
            <w:r w:rsidRPr="003F2E22">
              <w:rPr>
                <w:b/>
                <w:szCs w:val="24"/>
              </w:rPr>
              <w:t>Total</w:t>
            </w:r>
          </w:p>
        </w:tc>
        <w:tc>
          <w:tcPr>
            <w:tcW w:w="1561" w:type="dxa"/>
          </w:tcPr>
          <w:p w:rsidR="0000691A" w:rsidRPr="003F2E22" w:rsidRDefault="0000691A" w:rsidP="002B1576">
            <w:pPr>
              <w:tabs>
                <w:tab w:val="left" w:pos="1004"/>
              </w:tabs>
              <w:spacing w:before="120" w:after="100" w:afterAutospacing="1"/>
              <w:ind w:right="265"/>
              <w:jc w:val="right"/>
              <w:rPr>
                <w:b/>
                <w:szCs w:val="24"/>
              </w:rPr>
            </w:pPr>
            <w:r w:rsidRPr="003F2E22">
              <w:rPr>
                <w:b/>
                <w:szCs w:val="24"/>
              </w:rPr>
              <w:t>25,430,841</w:t>
            </w:r>
          </w:p>
        </w:tc>
        <w:tc>
          <w:tcPr>
            <w:tcW w:w="1561" w:type="dxa"/>
          </w:tcPr>
          <w:p w:rsidR="0000691A" w:rsidRPr="003F2E22" w:rsidRDefault="0000691A" w:rsidP="002B1576">
            <w:pPr>
              <w:tabs>
                <w:tab w:val="left" w:pos="1004"/>
              </w:tabs>
              <w:spacing w:before="120" w:after="100" w:afterAutospacing="1"/>
              <w:ind w:right="265"/>
              <w:jc w:val="right"/>
              <w:rPr>
                <w:b/>
                <w:szCs w:val="24"/>
              </w:rPr>
            </w:pPr>
            <w:r w:rsidRPr="003F2E22">
              <w:rPr>
                <w:b/>
                <w:szCs w:val="24"/>
              </w:rPr>
              <w:t>29,377,956</w:t>
            </w:r>
          </w:p>
        </w:tc>
        <w:tc>
          <w:tcPr>
            <w:tcW w:w="1561" w:type="dxa"/>
          </w:tcPr>
          <w:p w:rsidR="0000691A" w:rsidRPr="003F2E22" w:rsidRDefault="0000691A" w:rsidP="002B1576">
            <w:pPr>
              <w:tabs>
                <w:tab w:val="left" w:pos="1004"/>
              </w:tabs>
              <w:spacing w:before="120" w:after="100" w:afterAutospacing="1"/>
              <w:ind w:right="265"/>
              <w:jc w:val="right"/>
              <w:rPr>
                <w:b/>
                <w:szCs w:val="24"/>
              </w:rPr>
            </w:pPr>
            <w:r w:rsidRPr="003F2E22">
              <w:rPr>
                <w:b/>
                <w:szCs w:val="24"/>
              </w:rPr>
              <w:t>17,619,878</w:t>
            </w:r>
          </w:p>
        </w:tc>
      </w:tr>
      <w:bookmarkEnd w:id="2"/>
      <w:bookmarkEnd w:id="3"/>
    </w:tbl>
    <w:p w:rsidR="0000691A" w:rsidRDefault="0000691A" w:rsidP="002B1576">
      <w:pPr>
        <w:pBdr>
          <w:bottom w:val="single" w:sz="4" w:space="1" w:color="auto"/>
        </w:pBdr>
        <w:contextualSpacing/>
        <w:jc w:val="both"/>
        <w:rPr>
          <w:szCs w:val="24"/>
        </w:rPr>
      </w:pPr>
    </w:p>
    <w:p w:rsidR="0000691A" w:rsidRPr="003F2E22" w:rsidRDefault="0000691A" w:rsidP="002B1576">
      <w:pPr>
        <w:contextualSpacing/>
        <w:jc w:val="both"/>
        <w:rPr>
          <w:szCs w:val="24"/>
        </w:rPr>
      </w:pPr>
      <w:r>
        <w:rPr>
          <w:szCs w:val="24"/>
        </w:rPr>
        <w:br w:type="page"/>
      </w:r>
    </w:p>
    <w:p w:rsidR="0000691A" w:rsidRDefault="0000691A" w:rsidP="002B1576">
      <w:pPr>
        <w:jc w:val="both"/>
        <w:rPr>
          <w:szCs w:val="24"/>
        </w:rPr>
      </w:pPr>
      <w:r>
        <w:rPr>
          <w:szCs w:val="24"/>
        </w:rPr>
        <w:lastRenderedPageBreak/>
        <w:t xml:space="preserve">The following were noted: </w:t>
      </w:r>
    </w:p>
    <w:p w:rsidR="0000691A" w:rsidRDefault="0000691A" w:rsidP="002B1576">
      <w:pPr>
        <w:jc w:val="both"/>
        <w:rPr>
          <w:szCs w:val="24"/>
        </w:rPr>
      </w:pPr>
    </w:p>
    <w:p w:rsidR="00127B02" w:rsidRDefault="00127B02" w:rsidP="002B1576">
      <w:pPr>
        <w:numPr>
          <w:ilvl w:val="0"/>
          <w:numId w:val="8"/>
        </w:numPr>
        <w:spacing w:after="200"/>
        <w:ind w:left="360"/>
        <w:jc w:val="both"/>
        <w:rPr>
          <w:szCs w:val="24"/>
        </w:rPr>
      </w:pPr>
      <w:r>
        <w:rPr>
          <w:i/>
          <w:szCs w:val="24"/>
        </w:rPr>
        <w:t>Rental of Government Property</w:t>
      </w:r>
      <w:r w:rsidR="00725B15">
        <w:rPr>
          <w:i/>
          <w:szCs w:val="24"/>
        </w:rPr>
        <w:t>:</w:t>
      </w:r>
      <w:r w:rsidR="003A413A">
        <w:rPr>
          <w:i/>
          <w:szCs w:val="24"/>
        </w:rPr>
        <w:t xml:space="preserve"> </w:t>
      </w:r>
      <w:r w:rsidR="0000691A" w:rsidRPr="00732C66">
        <w:rPr>
          <w:i/>
          <w:szCs w:val="24"/>
        </w:rPr>
        <w:t>Rs 20,118,769</w:t>
      </w:r>
    </w:p>
    <w:p w:rsidR="0000691A" w:rsidRDefault="0000691A" w:rsidP="002B1576">
      <w:pPr>
        <w:spacing w:after="200"/>
        <w:ind w:left="360"/>
        <w:jc w:val="both"/>
        <w:rPr>
          <w:szCs w:val="24"/>
        </w:rPr>
      </w:pPr>
      <w:r>
        <w:rPr>
          <w:szCs w:val="24"/>
        </w:rPr>
        <w:t xml:space="preserve">Details of this figure </w:t>
      </w:r>
      <w:r w:rsidRPr="003F2E22">
        <w:rPr>
          <w:szCs w:val="24"/>
        </w:rPr>
        <w:t xml:space="preserve">as of 31 December 2013 are shown </w:t>
      </w:r>
      <w:r>
        <w:rPr>
          <w:szCs w:val="24"/>
        </w:rPr>
        <w:t>in Table 7</w:t>
      </w:r>
      <w:r w:rsidR="00127B02">
        <w:rPr>
          <w:szCs w:val="24"/>
        </w:rPr>
        <w:t>.</w:t>
      </w:r>
    </w:p>
    <w:p w:rsidR="0000691A" w:rsidRDefault="00413372" w:rsidP="002B1576">
      <w:pPr>
        <w:jc w:val="center"/>
        <w:rPr>
          <w:i/>
          <w:szCs w:val="24"/>
        </w:rPr>
      </w:pPr>
      <w:r>
        <w:rPr>
          <w:i/>
          <w:szCs w:val="24"/>
        </w:rPr>
        <w:t xml:space="preserve">Table 7  </w:t>
      </w:r>
      <w:r w:rsidR="0000691A" w:rsidRPr="00A20E6E">
        <w:rPr>
          <w:i/>
          <w:szCs w:val="24"/>
        </w:rPr>
        <w:t xml:space="preserve">Arrears of Revenue </w:t>
      </w:r>
      <w:r w:rsidR="0000691A">
        <w:rPr>
          <w:i/>
          <w:szCs w:val="24"/>
        </w:rPr>
        <w:t>in respect of l</w:t>
      </w:r>
      <w:r w:rsidR="0000691A" w:rsidRPr="00A20E6E">
        <w:rPr>
          <w:i/>
          <w:szCs w:val="24"/>
        </w:rPr>
        <w:t>ease</w:t>
      </w:r>
      <w:r w:rsidR="0000691A">
        <w:rPr>
          <w:i/>
          <w:szCs w:val="24"/>
        </w:rPr>
        <w:t>s</w:t>
      </w:r>
    </w:p>
    <w:p w:rsidR="00127B02" w:rsidRDefault="00127B02" w:rsidP="002B1576">
      <w:pPr>
        <w:ind w:left="360"/>
        <w:jc w:val="center"/>
        <w:rPr>
          <w:i/>
          <w:szCs w:val="24"/>
        </w:rPr>
      </w:pPr>
    </w:p>
    <w:p w:rsidR="00127B02" w:rsidRPr="00A20E6E" w:rsidRDefault="00127B02" w:rsidP="002B1576">
      <w:pPr>
        <w:pBdr>
          <w:top w:val="single" w:sz="4" w:space="1" w:color="auto"/>
        </w:pBdr>
        <w:ind w:left="360"/>
        <w:jc w:val="center"/>
        <w:rPr>
          <w:i/>
          <w:szCs w:val="24"/>
        </w:rPr>
      </w:pPr>
    </w:p>
    <w:tbl>
      <w:tblPr>
        <w:tblW w:w="7628" w:type="dxa"/>
        <w:tblInd w:w="1008" w:type="dxa"/>
        <w:tblLook w:val="01E0"/>
      </w:tblPr>
      <w:tblGrid>
        <w:gridCol w:w="3157"/>
        <w:gridCol w:w="1561"/>
        <w:gridCol w:w="1561"/>
        <w:gridCol w:w="1349"/>
      </w:tblGrid>
      <w:tr w:rsidR="0000691A" w:rsidRPr="003F2E22" w:rsidTr="00127B02">
        <w:trPr>
          <w:trHeight w:val="738"/>
        </w:trPr>
        <w:tc>
          <w:tcPr>
            <w:tcW w:w="3157" w:type="dxa"/>
          </w:tcPr>
          <w:p w:rsidR="0000691A" w:rsidRPr="003F2E22" w:rsidRDefault="0000691A" w:rsidP="002B1576">
            <w:pPr>
              <w:jc w:val="center"/>
              <w:rPr>
                <w:b/>
                <w:szCs w:val="24"/>
              </w:rPr>
            </w:pPr>
            <w:r w:rsidRPr="003F2E22">
              <w:rPr>
                <w:b/>
                <w:szCs w:val="24"/>
              </w:rPr>
              <w:t xml:space="preserve">Lease </w:t>
            </w:r>
            <w:r>
              <w:rPr>
                <w:b/>
                <w:szCs w:val="24"/>
              </w:rPr>
              <w:t>Categories</w:t>
            </w:r>
          </w:p>
        </w:tc>
        <w:tc>
          <w:tcPr>
            <w:tcW w:w="1561" w:type="dxa"/>
          </w:tcPr>
          <w:p w:rsidR="0000691A" w:rsidRPr="003F2E22" w:rsidRDefault="0000691A" w:rsidP="002B1576">
            <w:pPr>
              <w:jc w:val="center"/>
              <w:rPr>
                <w:b/>
                <w:szCs w:val="24"/>
              </w:rPr>
            </w:pPr>
            <w:r w:rsidRPr="003F2E22">
              <w:rPr>
                <w:b/>
                <w:szCs w:val="24"/>
              </w:rPr>
              <w:t>2013</w:t>
            </w:r>
          </w:p>
          <w:p w:rsidR="0000691A" w:rsidRPr="003F2E22" w:rsidRDefault="0000691A" w:rsidP="002B1576">
            <w:pPr>
              <w:jc w:val="center"/>
              <w:rPr>
                <w:b/>
                <w:szCs w:val="24"/>
              </w:rPr>
            </w:pPr>
            <w:r w:rsidRPr="003F2E22">
              <w:rPr>
                <w:b/>
                <w:szCs w:val="24"/>
              </w:rPr>
              <w:t>Rs</w:t>
            </w:r>
          </w:p>
        </w:tc>
        <w:tc>
          <w:tcPr>
            <w:tcW w:w="1561" w:type="dxa"/>
          </w:tcPr>
          <w:p w:rsidR="0000691A" w:rsidRPr="003F2E22" w:rsidRDefault="0000691A" w:rsidP="002B1576">
            <w:pPr>
              <w:jc w:val="center"/>
              <w:rPr>
                <w:b/>
                <w:szCs w:val="24"/>
              </w:rPr>
            </w:pPr>
            <w:r w:rsidRPr="003F2E22">
              <w:rPr>
                <w:b/>
                <w:szCs w:val="24"/>
              </w:rPr>
              <w:t>2012</w:t>
            </w:r>
          </w:p>
          <w:p w:rsidR="0000691A" w:rsidRPr="003F2E22" w:rsidRDefault="0000691A" w:rsidP="002B1576">
            <w:pPr>
              <w:jc w:val="center"/>
              <w:rPr>
                <w:b/>
                <w:szCs w:val="24"/>
              </w:rPr>
            </w:pPr>
            <w:r w:rsidRPr="003F2E22">
              <w:rPr>
                <w:b/>
                <w:szCs w:val="24"/>
              </w:rPr>
              <w:t>Rs</w:t>
            </w:r>
          </w:p>
        </w:tc>
        <w:tc>
          <w:tcPr>
            <w:tcW w:w="1349" w:type="dxa"/>
          </w:tcPr>
          <w:p w:rsidR="0000691A" w:rsidRPr="003F2E22" w:rsidRDefault="0000691A" w:rsidP="002B1576">
            <w:pPr>
              <w:jc w:val="center"/>
              <w:rPr>
                <w:b/>
                <w:szCs w:val="24"/>
              </w:rPr>
            </w:pPr>
            <w:r w:rsidRPr="003F2E22">
              <w:rPr>
                <w:b/>
                <w:szCs w:val="24"/>
              </w:rPr>
              <w:t>Percentage change</w:t>
            </w:r>
          </w:p>
        </w:tc>
      </w:tr>
      <w:tr w:rsidR="0000691A" w:rsidRPr="003F2E22" w:rsidTr="00127B02">
        <w:trPr>
          <w:trHeight w:val="432"/>
        </w:trPr>
        <w:tc>
          <w:tcPr>
            <w:tcW w:w="3157" w:type="dxa"/>
          </w:tcPr>
          <w:p w:rsidR="0000691A" w:rsidRPr="003F2E22" w:rsidRDefault="0000691A" w:rsidP="002B1576">
            <w:pPr>
              <w:jc w:val="both"/>
              <w:rPr>
                <w:szCs w:val="24"/>
              </w:rPr>
            </w:pPr>
            <w:r w:rsidRPr="003F2E22">
              <w:rPr>
                <w:szCs w:val="24"/>
              </w:rPr>
              <w:t>State Land</w:t>
            </w:r>
            <w:r>
              <w:rPr>
                <w:szCs w:val="24"/>
              </w:rPr>
              <w:t>-</w:t>
            </w:r>
            <w:r w:rsidRPr="003F2E22">
              <w:rPr>
                <w:szCs w:val="24"/>
              </w:rPr>
              <w:t>Residential</w:t>
            </w:r>
          </w:p>
        </w:tc>
        <w:tc>
          <w:tcPr>
            <w:tcW w:w="1561" w:type="dxa"/>
          </w:tcPr>
          <w:p w:rsidR="0000691A" w:rsidRPr="003F2E22" w:rsidRDefault="0000691A" w:rsidP="002B1576">
            <w:pPr>
              <w:tabs>
                <w:tab w:val="left" w:pos="1004"/>
              </w:tabs>
              <w:spacing w:after="120"/>
              <w:ind w:right="265"/>
              <w:jc w:val="right"/>
              <w:rPr>
                <w:szCs w:val="24"/>
              </w:rPr>
            </w:pPr>
            <w:r w:rsidRPr="003F2E22">
              <w:rPr>
                <w:szCs w:val="24"/>
              </w:rPr>
              <w:t>11,914,940</w:t>
            </w:r>
          </w:p>
        </w:tc>
        <w:tc>
          <w:tcPr>
            <w:tcW w:w="1561" w:type="dxa"/>
          </w:tcPr>
          <w:p w:rsidR="0000691A" w:rsidRPr="003F2E22" w:rsidRDefault="0000691A" w:rsidP="00EE15AD">
            <w:pPr>
              <w:tabs>
                <w:tab w:val="left" w:pos="1004"/>
              </w:tabs>
              <w:spacing w:after="120"/>
              <w:ind w:right="265"/>
              <w:jc w:val="right"/>
              <w:rPr>
                <w:szCs w:val="24"/>
              </w:rPr>
            </w:pPr>
            <w:r w:rsidRPr="003F2E22">
              <w:rPr>
                <w:szCs w:val="24"/>
              </w:rPr>
              <w:t>10,</w:t>
            </w:r>
            <w:r w:rsidR="00EE15AD">
              <w:rPr>
                <w:szCs w:val="24"/>
              </w:rPr>
              <w:t>962</w:t>
            </w:r>
            <w:r w:rsidRPr="003F2E22">
              <w:rPr>
                <w:szCs w:val="24"/>
              </w:rPr>
              <w:t>,</w:t>
            </w:r>
            <w:r w:rsidR="00EE15AD">
              <w:rPr>
                <w:szCs w:val="24"/>
              </w:rPr>
              <w:t>920</w:t>
            </w:r>
          </w:p>
        </w:tc>
        <w:tc>
          <w:tcPr>
            <w:tcW w:w="1349" w:type="dxa"/>
          </w:tcPr>
          <w:p w:rsidR="0000691A" w:rsidRPr="003F2E22" w:rsidRDefault="00EE15AD" w:rsidP="002B1576">
            <w:pPr>
              <w:spacing w:after="120"/>
              <w:jc w:val="center"/>
              <w:rPr>
                <w:szCs w:val="24"/>
              </w:rPr>
            </w:pPr>
            <w:r>
              <w:rPr>
                <w:szCs w:val="24"/>
              </w:rPr>
              <w:t>8.6</w:t>
            </w:r>
          </w:p>
        </w:tc>
      </w:tr>
      <w:tr w:rsidR="0000691A" w:rsidRPr="003F2E22" w:rsidTr="00127B02">
        <w:trPr>
          <w:trHeight w:val="432"/>
        </w:trPr>
        <w:tc>
          <w:tcPr>
            <w:tcW w:w="3157" w:type="dxa"/>
          </w:tcPr>
          <w:p w:rsidR="0000691A" w:rsidRPr="003F2E22" w:rsidRDefault="0000691A" w:rsidP="002B1576">
            <w:pPr>
              <w:spacing w:after="120"/>
              <w:jc w:val="both"/>
              <w:rPr>
                <w:szCs w:val="24"/>
              </w:rPr>
            </w:pPr>
            <w:r w:rsidRPr="003F2E22">
              <w:rPr>
                <w:szCs w:val="24"/>
              </w:rPr>
              <w:t>State Land</w:t>
            </w:r>
            <w:r>
              <w:rPr>
                <w:szCs w:val="24"/>
              </w:rPr>
              <w:t>-</w:t>
            </w:r>
            <w:r w:rsidRPr="003F2E22">
              <w:rPr>
                <w:szCs w:val="24"/>
              </w:rPr>
              <w:t>Commercial</w:t>
            </w:r>
          </w:p>
        </w:tc>
        <w:tc>
          <w:tcPr>
            <w:tcW w:w="1561" w:type="dxa"/>
          </w:tcPr>
          <w:p w:rsidR="0000691A" w:rsidRPr="003F2E22" w:rsidRDefault="0000691A" w:rsidP="002B1576">
            <w:pPr>
              <w:tabs>
                <w:tab w:val="left" w:pos="1004"/>
              </w:tabs>
              <w:spacing w:after="120"/>
              <w:ind w:right="265"/>
              <w:jc w:val="right"/>
              <w:rPr>
                <w:szCs w:val="24"/>
              </w:rPr>
            </w:pPr>
            <w:r w:rsidRPr="003F2E22">
              <w:rPr>
                <w:szCs w:val="24"/>
              </w:rPr>
              <w:t>1,292,742</w:t>
            </w:r>
          </w:p>
        </w:tc>
        <w:tc>
          <w:tcPr>
            <w:tcW w:w="1561" w:type="dxa"/>
          </w:tcPr>
          <w:p w:rsidR="0000691A" w:rsidRPr="003F2E22" w:rsidRDefault="0000691A" w:rsidP="002B1576">
            <w:pPr>
              <w:tabs>
                <w:tab w:val="left" w:pos="1004"/>
              </w:tabs>
              <w:spacing w:after="120"/>
              <w:ind w:right="265"/>
              <w:jc w:val="right"/>
              <w:rPr>
                <w:szCs w:val="24"/>
              </w:rPr>
            </w:pPr>
            <w:r w:rsidRPr="003F2E22">
              <w:rPr>
                <w:szCs w:val="24"/>
              </w:rPr>
              <w:t>346,982</w:t>
            </w:r>
          </w:p>
        </w:tc>
        <w:tc>
          <w:tcPr>
            <w:tcW w:w="1349" w:type="dxa"/>
          </w:tcPr>
          <w:p w:rsidR="0000691A" w:rsidRPr="003F2E22" w:rsidRDefault="0000691A" w:rsidP="00EE15AD">
            <w:pPr>
              <w:spacing w:after="120"/>
              <w:jc w:val="center"/>
              <w:rPr>
                <w:szCs w:val="24"/>
              </w:rPr>
            </w:pPr>
            <w:r w:rsidRPr="003F2E22">
              <w:rPr>
                <w:szCs w:val="24"/>
              </w:rPr>
              <w:t>27</w:t>
            </w:r>
            <w:r w:rsidR="00EE15AD">
              <w:rPr>
                <w:szCs w:val="24"/>
              </w:rPr>
              <w:t>2</w:t>
            </w:r>
          </w:p>
        </w:tc>
      </w:tr>
      <w:tr w:rsidR="0000691A" w:rsidRPr="003F2E22" w:rsidTr="00127B02">
        <w:trPr>
          <w:trHeight w:val="432"/>
        </w:trPr>
        <w:tc>
          <w:tcPr>
            <w:tcW w:w="3157" w:type="dxa"/>
          </w:tcPr>
          <w:p w:rsidR="0000691A" w:rsidRPr="003F2E22" w:rsidRDefault="0000691A" w:rsidP="002B1576">
            <w:pPr>
              <w:spacing w:after="120"/>
              <w:jc w:val="both"/>
              <w:rPr>
                <w:color w:val="000000"/>
                <w:szCs w:val="24"/>
              </w:rPr>
            </w:pPr>
            <w:r w:rsidRPr="003F2E22">
              <w:rPr>
                <w:szCs w:val="24"/>
              </w:rPr>
              <w:t>State Land</w:t>
            </w:r>
            <w:r>
              <w:rPr>
                <w:szCs w:val="24"/>
              </w:rPr>
              <w:t>-</w:t>
            </w:r>
            <w:r w:rsidRPr="003F2E22">
              <w:rPr>
                <w:szCs w:val="24"/>
              </w:rPr>
              <w:t>Industrial</w:t>
            </w:r>
          </w:p>
        </w:tc>
        <w:tc>
          <w:tcPr>
            <w:tcW w:w="1561" w:type="dxa"/>
          </w:tcPr>
          <w:p w:rsidR="0000691A" w:rsidRPr="003F2E22" w:rsidRDefault="0000691A" w:rsidP="002B1576">
            <w:pPr>
              <w:tabs>
                <w:tab w:val="left" w:pos="1004"/>
              </w:tabs>
              <w:spacing w:after="120"/>
              <w:ind w:right="265"/>
              <w:jc w:val="right"/>
              <w:rPr>
                <w:szCs w:val="24"/>
              </w:rPr>
            </w:pPr>
            <w:r w:rsidRPr="003F2E22">
              <w:rPr>
                <w:szCs w:val="24"/>
              </w:rPr>
              <w:t>6,513,552</w:t>
            </w:r>
          </w:p>
        </w:tc>
        <w:tc>
          <w:tcPr>
            <w:tcW w:w="1561" w:type="dxa"/>
          </w:tcPr>
          <w:p w:rsidR="0000691A" w:rsidRPr="003F2E22" w:rsidRDefault="0000691A" w:rsidP="002B1576">
            <w:pPr>
              <w:tabs>
                <w:tab w:val="left" w:pos="1004"/>
              </w:tabs>
              <w:spacing w:after="120"/>
              <w:ind w:right="265"/>
              <w:jc w:val="right"/>
              <w:rPr>
                <w:szCs w:val="24"/>
              </w:rPr>
            </w:pPr>
            <w:r w:rsidRPr="003F2E22">
              <w:rPr>
                <w:szCs w:val="24"/>
              </w:rPr>
              <w:t>11,735,518</w:t>
            </w:r>
          </w:p>
        </w:tc>
        <w:tc>
          <w:tcPr>
            <w:tcW w:w="1349" w:type="dxa"/>
          </w:tcPr>
          <w:p w:rsidR="0000691A" w:rsidRPr="003F2E22" w:rsidRDefault="0000691A" w:rsidP="002B1576">
            <w:pPr>
              <w:spacing w:after="120"/>
              <w:jc w:val="center"/>
              <w:rPr>
                <w:szCs w:val="24"/>
              </w:rPr>
            </w:pPr>
            <w:r>
              <w:rPr>
                <w:szCs w:val="24"/>
              </w:rPr>
              <w:t>(44</w:t>
            </w:r>
            <w:r w:rsidR="00EE15AD">
              <w:rPr>
                <w:szCs w:val="24"/>
              </w:rPr>
              <w:t>.5</w:t>
            </w:r>
            <w:r>
              <w:rPr>
                <w:szCs w:val="24"/>
              </w:rPr>
              <w:t>)</w:t>
            </w:r>
          </w:p>
        </w:tc>
      </w:tr>
      <w:tr w:rsidR="0000691A" w:rsidRPr="003F2E22" w:rsidTr="00127B02">
        <w:trPr>
          <w:trHeight w:val="432"/>
        </w:trPr>
        <w:tc>
          <w:tcPr>
            <w:tcW w:w="3157" w:type="dxa"/>
          </w:tcPr>
          <w:p w:rsidR="0000691A" w:rsidRPr="003F2E22" w:rsidRDefault="0000691A" w:rsidP="002B1576">
            <w:pPr>
              <w:spacing w:after="120"/>
              <w:jc w:val="both"/>
              <w:rPr>
                <w:szCs w:val="24"/>
              </w:rPr>
            </w:pPr>
            <w:r w:rsidRPr="003F2E22">
              <w:rPr>
                <w:szCs w:val="24"/>
              </w:rPr>
              <w:t>State Land</w:t>
            </w:r>
            <w:r>
              <w:rPr>
                <w:szCs w:val="24"/>
              </w:rPr>
              <w:t>-</w:t>
            </w:r>
            <w:r w:rsidRPr="003F2E22">
              <w:rPr>
                <w:szCs w:val="24"/>
              </w:rPr>
              <w:t>Agricultural</w:t>
            </w:r>
          </w:p>
        </w:tc>
        <w:tc>
          <w:tcPr>
            <w:tcW w:w="1561" w:type="dxa"/>
          </w:tcPr>
          <w:p w:rsidR="0000691A" w:rsidRPr="003F2E22" w:rsidRDefault="0000691A" w:rsidP="002B1576">
            <w:pPr>
              <w:tabs>
                <w:tab w:val="left" w:pos="1004"/>
              </w:tabs>
              <w:spacing w:after="120"/>
              <w:ind w:right="265"/>
              <w:jc w:val="right"/>
              <w:rPr>
                <w:szCs w:val="24"/>
              </w:rPr>
            </w:pPr>
            <w:r w:rsidRPr="003F2E22">
              <w:rPr>
                <w:szCs w:val="24"/>
              </w:rPr>
              <w:t>397,535</w:t>
            </w:r>
          </w:p>
        </w:tc>
        <w:tc>
          <w:tcPr>
            <w:tcW w:w="1561" w:type="dxa"/>
          </w:tcPr>
          <w:p w:rsidR="0000691A" w:rsidRPr="003F2E22" w:rsidRDefault="0000691A" w:rsidP="002B1576">
            <w:pPr>
              <w:tabs>
                <w:tab w:val="left" w:pos="1004"/>
              </w:tabs>
              <w:spacing w:after="120"/>
              <w:ind w:right="265"/>
              <w:jc w:val="right"/>
              <w:rPr>
                <w:szCs w:val="24"/>
              </w:rPr>
            </w:pPr>
            <w:r w:rsidRPr="003F2E22">
              <w:rPr>
                <w:szCs w:val="24"/>
              </w:rPr>
              <w:t>346,983</w:t>
            </w:r>
          </w:p>
        </w:tc>
        <w:tc>
          <w:tcPr>
            <w:tcW w:w="1349" w:type="dxa"/>
          </w:tcPr>
          <w:p w:rsidR="0000691A" w:rsidRPr="003F2E22" w:rsidRDefault="00EE15AD" w:rsidP="002B1576">
            <w:pPr>
              <w:spacing w:after="120"/>
              <w:jc w:val="center"/>
              <w:rPr>
                <w:szCs w:val="24"/>
              </w:rPr>
            </w:pPr>
            <w:r>
              <w:rPr>
                <w:szCs w:val="24"/>
              </w:rPr>
              <w:t>14.5</w:t>
            </w:r>
          </w:p>
        </w:tc>
      </w:tr>
      <w:tr w:rsidR="0000691A" w:rsidRPr="003F2E22" w:rsidTr="00127B02">
        <w:trPr>
          <w:trHeight w:val="225"/>
        </w:trPr>
        <w:tc>
          <w:tcPr>
            <w:tcW w:w="3157" w:type="dxa"/>
          </w:tcPr>
          <w:p w:rsidR="0000691A" w:rsidRPr="003F2E22" w:rsidRDefault="0000691A" w:rsidP="002B1576">
            <w:pPr>
              <w:spacing w:after="120"/>
              <w:jc w:val="both"/>
              <w:rPr>
                <w:b/>
                <w:szCs w:val="24"/>
              </w:rPr>
            </w:pPr>
            <w:r w:rsidRPr="003F2E22">
              <w:rPr>
                <w:b/>
                <w:szCs w:val="24"/>
              </w:rPr>
              <w:t>Total</w:t>
            </w:r>
          </w:p>
        </w:tc>
        <w:tc>
          <w:tcPr>
            <w:tcW w:w="1561" w:type="dxa"/>
          </w:tcPr>
          <w:p w:rsidR="0000691A" w:rsidRPr="003F2E22" w:rsidRDefault="0000691A" w:rsidP="002B1576">
            <w:pPr>
              <w:tabs>
                <w:tab w:val="left" w:pos="1004"/>
              </w:tabs>
              <w:spacing w:after="120"/>
              <w:ind w:right="265"/>
              <w:jc w:val="right"/>
              <w:rPr>
                <w:b/>
                <w:szCs w:val="24"/>
              </w:rPr>
            </w:pPr>
            <w:r w:rsidRPr="003F2E22">
              <w:rPr>
                <w:b/>
                <w:szCs w:val="24"/>
              </w:rPr>
              <w:t>20,118,769</w:t>
            </w:r>
          </w:p>
        </w:tc>
        <w:tc>
          <w:tcPr>
            <w:tcW w:w="1561" w:type="dxa"/>
          </w:tcPr>
          <w:p w:rsidR="0000691A" w:rsidRPr="003F2E22" w:rsidRDefault="0000691A" w:rsidP="00EE15AD">
            <w:pPr>
              <w:tabs>
                <w:tab w:val="left" w:pos="1004"/>
              </w:tabs>
              <w:spacing w:after="120"/>
              <w:ind w:right="265"/>
              <w:jc w:val="right"/>
              <w:rPr>
                <w:b/>
                <w:szCs w:val="24"/>
              </w:rPr>
            </w:pPr>
            <w:r w:rsidRPr="003F2E22">
              <w:rPr>
                <w:b/>
                <w:szCs w:val="24"/>
              </w:rPr>
              <w:t>2</w:t>
            </w:r>
            <w:r w:rsidR="00EE15AD">
              <w:rPr>
                <w:b/>
                <w:szCs w:val="24"/>
              </w:rPr>
              <w:t>3</w:t>
            </w:r>
            <w:r w:rsidRPr="003F2E22">
              <w:rPr>
                <w:b/>
                <w:szCs w:val="24"/>
              </w:rPr>
              <w:t>,</w:t>
            </w:r>
            <w:r w:rsidR="00EE15AD">
              <w:rPr>
                <w:b/>
                <w:szCs w:val="24"/>
              </w:rPr>
              <w:t>392</w:t>
            </w:r>
            <w:r w:rsidRPr="003F2E22">
              <w:rPr>
                <w:b/>
                <w:szCs w:val="24"/>
              </w:rPr>
              <w:t>,</w:t>
            </w:r>
            <w:r w:rsidR="00EE15AD">
              <w:rPr>
                <w:b/>
                <w:szCs w:val="24"/>
              </w:rPr>
              <w:t>403</w:t>
            </w:r>
          </w:p>
        </w:tc>
        <w:tc>
          <w:tcPr>
            <w:tcW w:w="1349" w:type="dxa"/>
          </w:tcPr>
          <w:p w:rsidR="0000691A" w:rsidRPr="003F2E22" w:rsidRDefault="0000691A" w:rsidP="002B1576">
            <w:pPr>
              <w:spacing w:after="120"/>
              <w:jc w:val="center"/>
              <w:rPr>
                <w:szCs w:val="24"/>
              </w:rPr>
            </w:pPr>
          </w:p>
        </w:tc>
      </w:tr>
    </w:tbl>
    <w:p w:rsidR="0000691A" w:rsidRPr="00B276A9" w:rsidRDefault="0000691A" w:rsidP="002B1576">
      <w:pPr>
        <w:pBdr>
          <w:bottom w:val="single" w:sz="4" w:space="1" w:color="auto"/>
        </w:pBdr>
        <w:ind w:left="360"/>
        <w:contextualSpacing/>
        <w:jc w:val="both"/>
        <w:rPr>
          <w:szCs w:val="24"/>
        </w:rPr>
      </w:pPr>
    </w:p>
    <w:p w:rsidR="00127B02" w:rsidRDefault="00127B02" w:rsidP="002B1576">
      <w:pPr>
        <w:contextualSpacing/>
        <w:jc w:val="both"/>
        <w:rPr>
          <w:szCs w:val="24"/>
        </w:rPr>
      </w:pPr>
    </w:p>
    <w:p w:rsidR="0000691A" w:rsidRDefault="0000691A" w:rsidP="002B1576">
      <w:pPr>
        <w:ind w:left="360"/>
        <w:contextualSpacing/>
        <w:jc w:val="both"/>
        <w:rPr>
          <w:szCs w:val="24"/>
        </w:rPr>
      </w:pPr>
      <w:r>
        <w:rPr>
          <w:szCs w:val="24"/>
        </w:rPr>
        <w:t xml:space="preserve">Increases </w:t>
      </w:r>
      <w:r w:rsidR="003A413A">
        <w:rPr>
          <w:szCs w:val="24"/>
        </w:rPr>
        <w:t>in</w:t>
      </w:r>
      <w:r>
        <w:rPr>
          <w:szCs w:val="24"/>
        </w:rPr>
        <w:t xml:space="preserve"> the arrears of rental figure have been noted in three of the four categories of leases of State Land and in particular, for “State Land-</w:t>
      </w:r>
      <w:r w:rsidR="00A15EB2">
        <w:rPr>
          <w:szCs w:val="24"/>
        </w:rPr>
        <w:t xml:space="preserve"> Commerc</w:t>
      </w:r>
      <w:r>
        <w:rPr>
          <w:szCs w:val="24"/>
        </w:rPr>
        <w:t>ial” the arrears figure for 2013 is highest at 27</w:t>
      </w:r>
      <w:r w:rsidR="00EE15AD">
        <w:rPr>
          <w:szCs w:val="24"/>
        </w:rPr>
        <w:t>2</w:t>
      </w:r>
      <w:r>
        <w:rPr>
          <w:szCs w:val="24"/>
        </w:rPr>
        <w:t xml:space="preserve"> per cent over the previous year.</w:t>
      </w:r>
    </w:p>
    <w:p w:rsidR="0000691A" w:rsidRDefault="0000691A" w:rsidP="002B1576">
      <w:pPr>
        <w:ind w:left="360"/>
        <w:contextualSpacing/>
        <w:jc w:val="both"/>
        <w:rPr>
          <w:szCs w:val="24"/>
        </w:rPr>
      </w:pPr>
    </w:p>
    <w:p w:rsidR="0000691A" w:rsidRDefault="0000691A" w:rsidP="002B1576">
      <w:pPr>
        <w:ind w:left="360"/>
        <w:contextualSpacing/>
        <w:jc w:val="both"/>
        <w:rPr>
          <w:szCs w:val="24"/>
        </w:rPr>
      </w:pPr>
      <w:r>
        <w:rPr>
          <w:szCs w:val="24"/>
        </w:rPr>
        <w:t>The</w:t>
      </w:r>
      <w:r w:rsidRPr="005A1E9A">
        <w:rPr>
          <w:szCs w:val="24"/>
        </w:rPr>
        <w:t xml:space="preserve"> existing de</w:t>
      </w:r>
      <w:r>
        <w:rPr>
          <w:szCs w:val="24"/>
        </w:rPr>
        <w:t xml:space="preserve">bt management system is poor and has not been reviewed </w:t>
      </w:r>
      <w:r w:rsidRPr="005A1E9A">
        <w:rPr>
          <w:szCs w:val="24"/>
        </w:rPr>
        <w:t>to</w:t>
      </w:r>
      <w:r>
        <w:rPr>
          <w:szCs w:val="24"/>
        </w:rPr>
        <w:t xml:space="preserve"> </w:t>
      </w:r>
      <w:r w:rsidRPr="005A1E9A">
        <w:rPr>
          <w:szCs w:val="24"/>
        </w:rPr>
        <w:t xml:space="preserve">recover </w:t>
      </w:r>
      <w:r>
        <w:rPr>
          <w:szCs w:val="24"/>
        </w:rPr>
        <w:t xml:space="preserve">the </w:t>
      </w:r>
      <w:r w:rsidRPr="005A1E9A">
        <w:rPr>
          <w:szCs w:val="24"/>
        </w:rPr>
        <w:t>debts promptly</w:t>
      </w:r>
      <w:r>
        <w:rPr>
          <w:szCs w:val="24"/>
        </w:rPr>
        <w:t xml:space="preserve">. Follow up action is necessary. Debtors are to be chased to settle the amounts due. RRA may contemplate other appropriate measures to recover the arrears of rental. </w:t>
      </w:r>
    </w:p>
    <w:p w:rsidR="0000691A" w:rsidRDefault="0000691A" w:rsidP="002B1576">
      <w:pPr>
        <w:ind w:left="360"/>
        <w:contextualSpacing/>
        <w:jc w:val="both"/>
        <w:rPr>
          <w:szCs w:val="24"/>
        </w:rPr>
      </w:pPr>
    </w:p>
    <w:p w:rsidR="0000691A" w:rsidRDefault="0000691A" w:rsidP="002B1576">
      <w:pPr>
        <w:ind w:left="360"/>
        <w:contextualSpacing/>
        <w:jc w:val="both"/>
        <w:rPr>
          <w:szCs w:val="24"/>
        </w:rPr>
      </w:pPr>
      <w:r>
        <w:rPr>
          <w:szCs w:val="24"/>
        </w:rPr>
        <w:t>Arrears were long overdue in the case of State Land-Residential, in some cases for more than 20 years. If the arrears are not collected on time, there is a risk that they become time-barred and therefore a loss</w:t>
      </w:r>
      <w:r w:rsidR="00725B15">
        <w:rPr>
          <w:szCs w:val="24"/>
        </w:rPr>
        <w:t xml:space="preserve"> of revenue</w:t>
      </w:r>
      <w:r>
        <w:rPr>
          <w:szCs w:val="24"/>
        </w:rPr>
        <w:t xml:space="preserve"> to RRA. Moreover, the Revenue Management System did not include an ‘Ag</w:t>
      </w:r>
      <w:r w:rsidR="00725B15">
        <w:rPr>
          <w:szCs w:val="24"/>
        </w:rPr>
        <w:t>e</w:t>
      </w:r>
      <w:r>
        <w:rPr>
          <w:szCs w:val="24"/>
        </w:rPr>
        <w:t xml:space="preserve">ing Analysis’ for debtors. </w:t>
      </w:r>
    </w:p>
    <w:p w:rsidR="0000691A" w:rsidRDefault="0000691A" w:rsidP="002B1576">
      <w:pPr>
        <w:contextualSpacing/>
        <w:jc w:val="both"/>
        <w:rPr>
          <w:szCs w:val="24"/>
        </w:rPr>
      </w:pPr>
    </w:p>
    <w:p w:rsidR="00127B02" w:rsidRPr="00127B02" w:rsidRDefault="0000691A" w:rsidP="002B1576">
      <w:pPr>
        <w:numPr>
          <w:ilvl w:val="0"/>
          <w:numId w:val="7"/>
        </w:numPr>
        <w:ind w:left="360"/>
        <w:jc w:val="both"/>
        <w:rPr>
          <w:szCs w:val="24"/>
        </w:rPr>
      </w:pPr>
      <w:r w:rsidRPr="003F2E22">
        <w:rPr>
          <w:i/>
          <w:szCs w:val="24"/>
        </w:rPr>
        <w:t>NHDC Houses</w:t>
      </w:r>
      <w:r>
        <w:rPr>
          <w:i/>
          <w:szCs w:val="24"/>
        </w:rPr>
        <w:t>:</w:t>
      </w:r>
      <w:r w:rsidRPr="003F2E22">
        <w:rPr>
          <w:szCs w:val="24"/>
        </w:rPr>
        <w:t xml:space="preserve"> </w:t>
      </w:r>
      <w:r w:rsidR="00725B15">
        <w:rPr>
          <w:i/>
          <w:szCs w:val="24"/>
        </w:rPr>
        <w:t>Rs 881,025</w:t>
      </w:r>
      <w:r>
        <w:rPr>
          <w:i/>
          <w:szCs w:val="24"/>
        </w:rPr>
        <w:t xml:space="preserve"> </w:t>
      </w:r>
    </w:p>
    <w:p w:rsidR="00127B02" w:rsidRDefault="00127B02" w:rsidP="002B1576">
      <w:pPr>
        <w:ind w:left="360"/>
        <w:jc w:val="both"/>
        <w:rPr>
          <w:i/>
          <w:szCs w:val="24"/>
        </w:rPr>
      </w:pPr>
    </w:p>
    <w:p w:rsidR="0000691A" w:rsidRPr="008523A0" w:rsidRDefault="0000691A" w:rsidP="00EE15AD">
      <w:pPr>
        <w:ind w:left="360"/>
        <w:jc w:val="both"/>
        <w:rPr>
          <w:szCs w:val="24"/>
        </w:rPr>
      </w:pPr>
      <w:r w:rsidRPr="003F2E22">
        <w:rPr>
          <w:szCs w:val="24"/>
        </w:rPr>
        <w:t xml:space="preserve">Measures and enforcement mechanisms put in place </w:t>
      </w:r>
      <w:r>
        <w:rPr>
          <w:szCs w:val="24"/>
        </w:rPr>
        <w:t>by</w:t>
      </w:r>
      <w:r w:rsidRPr="003F2E22">
        <w:rPr>
          <w:szCs w:val="24"/>
        </w:rPr>
        <w:t xml:space="preserve"> RRA </w:t>
      </w:r>
      <w:r>
        <w:rPr>
          <w:szCs w:val="24"/>
        </w:rPr>
        <w:t xml:space="preserve">were </w:t>
      </w:r>
      <w:r w:rsidRPr="003F2E22">
        <w:rPr>
          <w:szCs w:val="24"/>
        </w:rPr>
        <w:t>inadequate and ineffective</w:t>
      </w:r>
      <w:r>
        <w:rPr>
          <w:szCs w:val="24"/>
        </w:rPr>
        <w:t xml:space="preserve">. The arrears have increased from Rs 545,260 in 2011 to Rs </w:t>
      </w:r>
      <w:r w:rsidRPr="008523A0">
        <w:rPr>
          <w:szCs w:val="24"/>
        </w:rPr>
        <w:t>881,025 in 2013,</w:t>
      </w:r>
      <w:r w:rsidR="00EE15AD">
        <w:rPr>
          <w:szCs w:val="24"/>
        </w:rPr>
        <w:t xml:space="preserve"> </w:t>
      </w:r>
      <w:r w:rsidRPr="008523A0">
        <w:rPr>
          <w:szCs w:val="24"/>
        </w:rPr>
        <w:t>that is an increase of 61.5 per cent.</w:t>
      </w:r>
    </w:p>
    <w:p w:rsidR="00725B15" w:rsidRDefault="00725B15" w:rsidP="002B1576">
      <w:pPr>
        <w:contextualSpacing/>
        <w:jc w:val="both"/>
        <w:rPr>
          <w:szCs w:val="24"/>
        </w:rPr>
      </w:pPr>
    </w:p>
    <w:p w:rsidR="0000691A" w:rsidRDefault="0000691A" w:rsidP="002B1576">
      <w:pPr>
        <w:contextualSpacing/>
        <w:jc w:val="both"/>
        <w:rPr>
          <w:szCs w:val="24"/>
        </w:rPr>
      </w:pPr>
      <w:r w:rsidRPr="0021771E">
        <w:rPr>
          <w:szCs w:val="24"/>
        </w:rPr>
        <w:t xml:space="preserve">At paragraph </w:t>
      </w:r>
      <w:r w:rsidR="00EE15AD">
        <w:rPr>
          <w:szCs w:val="24"/>
        </w:rPr>
        <w:t>2.6</w:t>
      </w:r>
      <w:r w:rsidRPr="0021771E">
        <w:rPr>
          <w:szCs w:val="24"/>
        </w:rPr>
        <w:t xml:space="preserve"> of the Audit Report for</w:t>
      </w:r>
      <w:r>
        <w:rPr>
          <w:szCs w:val="24"/>
        </w:rPr>
        <w:t xml:space="preserve"> the year ended 31 December 2012</w:t>
      </w:r>
      <w:r w:rsidRPr="0021771E">
        <w:rPr>
          <w:szCs w:val="24"/>
        </w:rPr>
        <w:t>, I repo</w:t>
      </w:r>
      <w:r>
        <w:rPr>
          <w:szCs w:val="24"/>
        </w:rPr>
        <w:t>rted on the following cases of arrears for which no remedial action had been taken:</w:t>
      </w:r>
    </w:p>
    <w:p w:rsidR="0000691A" w:rsidRPr="00D3056B" w:rsidRDefault="0000691A" w:rsidP="002B1576">
      <w:pPr>
        <w:contextualSpacing/>
        <w:jc w:val="both"/>
        <w:rPr>
          <w:szCs w:val="24"/>
        </w:rPr>
      </w:pPr>
    </w:p>
    <w:p w:rsidR="00127B02" w:rsidRDefault="0000691A" w:rsidP="002B1576">
      <w:pPr>
        <w:numPr>
          <w:ilvl w:val="0"/>
          <w:numId w:val="7"/>
        </w:numPr>
        <w:spacing w:after="200"/>
        <w:ind w:left="360"/>
        <w:jc w:val="both"/>
        <w:rPr>
          <w:szCs w:val="24"/>
        </w:rPr>
      </w:pPr>
      <w:r w:rsidRPr="003F2E22">
        <w:rPr>
          <w:i/>
          <w:szCs w:val="24"/>
        </w:rPr>
        <w:t xml:space="preserve">State Land </w:t>
      </w:r>
      <w:r>
        <w:rPr>
          <w:i/>
          <w:szCs w:val="24"/>
        </w:rPr>
        <w:t xml:space="preserve">- Old </w:t>
      </w:r>
      <w:r w:rsidR="00725B15">
        <w:rPr>
          <w:i/>
          <w:szCs w:val="24"/>
        </w:rPr>
        <w:t>L</w:t>
      </w:r>
      <w:r>
        <w:rPr>
          <w:i/>
          <w:szCs w:val="24"/>
        </w:rPr>
        <w:t xml:space="preserve">eases: </w:t>
      </w:r>
      <w:r w:rsidRPr="003F2E22">
        <w:rPr>
          <w:i/>
          <w:szCs w:val="24"/>
        </w:rPr>
        <w:t>Rs 1,469,834</w:t>
      </w:r>
      <w:r>
        <w:rPr>
          <w:szCs w:val="24"/>
        </w:rPr>
        <w:t xml:space="preserve"> </w:t>
      </w:r>
    </w:p>
    <w:p w:rsidR="0000691A" w:rsidRDefault="0000691A" w:rsidP="002B1576">
      <w:pPr>
        <w:spacing w:after="200"/>
        <w:ind w:left="360"/>
        <w:jc w:val="both"/>
        <w:rPr>
          <w:szCs w:val="24"/>
        </w:rPr>
      </w:pPr>
      <w:r>
        <w:rPr>
          <w:szCs w:val="24"/>
        </w:rPr>
        <w:t>The amount</w:t>
      </w:r>
      <w:r w:rsidRPr="003F2E22">
        <w:rPr>
          <w:szCs w:val="24"/>
        </w:rPr>
        <w:t xml:space="preserve"> </w:t>
      </w:r>
      <w:r>
        <w:rPr>
          <w:szCs w:val="24"/>
        </w:rPr>
        <w:t xml:space="preserve">of Rs 1,469,834 </w:t>
      </w:r>
      <w:r w:rsidRPr="003F2E22">
        <w:rPr>
          <w:szCs w:val="24"/>
        </w:rPr>
        <w:t xml:space="preserve">due </w:t>
      </w:r>
      <w:r>
        <w:rPr>
          <w:szCs w:val="24"/>
        </w:rPr>
        <w:t>by the lessees has</w:t>
      </w:r>
      <w:r w:rsidRPr="003F2E22">
        <w:rPr>
          <w:szCs w:val="24"/>
        </w:rPr>
        <w:t xml:space="preserve"> </w:t>
      </w:r>
      <w:r>
        <w:rPr>
          <w:szCs w:val="24"/>
        </w:rPr>
        <w:t xml:space="preserve">been </w:t>
      </w:r>
      <w:r w:rsidRPr="003F2E22">
        <w:rPr>
          <w:szCs w:val="24"/>
        </w:rPr>
        <w:t>writ</w:t>
      </w:r>
      <w:r>
        <w:rPr>
          <w:szCs w:val="24"/>
        </w:rPr>
        <w:t>t</w:t>
      </w:r>
      <w:r w:rsidRPr="003F2E22">
        <w:rPr>
          <w:szCs w:val="24"/>
        </w:rPr>
        <w:t>e</w:t>
      </w:r>
      <w:r>
        <w:rPr>
          <w:szCs w:val="24"/>
        </w:rPr>
        <w:t>n</w:t>
      </w:r>
      <w:r w:rsidRPr="003F2E22">
        <w:rPr>
          <w:szCs w:val="24"/>
        </w:rPr>
        <w:t xml:space="preserve"> off</w:t>
      </w:r>
      <w:r w:rsidR="00127B02">
        <w:rPr>
          <w:szCs w:val="24"/>
        </w:rPr>
        <w:t xml:space="preserve"> on 19 April 2013. </w:t>
      </w:r>
      <w:r>
        <w:rPr>
          <w:szCs w:val="24"/>
        </w:rPr>
        <w:t>However, the accounts in the Lease Management System have not been updated</w:t>
      </w:r>
      <w:r w:rsidRPr="003F2E22">
        <w:rPr>
          <w:szCs w:val="24"/>
        </w:rPr>
        <w:t xml:space="preserve">. </w:t>
      </w:r>
    </w:p>
    <w:p w:rsidR="00127B02" w:rsidRDefault="00127B02" w:rsidP="002B1576">
      <w:pPr>
        <w:spacing w:after="200"/>
        <w:ind w:left="360"/>
        <w:jc w:val="both"/>
        <w:rPr>
          <w:szCs w:val="24"/>
        </w:rPr>
      </w:pPr>
    </w:p>
    <w:p w:rsidR="00127B02" w:rsidRDefault="0000691A" w:rsidP="002B1576">
      <w:pPr>
        <w:numPr>
          <w:ilvl w:val="0"/>
          <w:numId w:val="7"/>
        </w:numPr>
        <w:spacing w:after="200"/>
        <w:ind w:left="360"/>
        <w:jc w:val="both"/>
        <w:rPr>
          <w:szCs w:val="24"/>
        </w:rPr>
      </w:pPr>
      <w:r w:rsidRPr="005349F8">
        <w:rPr>
          <w:i/>
          <w:szCs w:val="24"/>
        </w:rPr>
        <w:lastRenderedPageBreak/>
        <w:t>State Land Industrial</w:t>
      </w:r>
      <w:r>
        <w:rPr>
          <w:i/>
          <w:szCs w:val="24"/>
        </w:rPr>
        <w:t xml:space="preserve">: </w:t>
      </w:r>
      <w:r w:rsidRPr="005349F8">
        <w:rPr>
          <w:i/>
          <w:szCs w:val="24"/>
        </w:rPr>
        <w:t>Rs 6,513,552</w:t>
      </w:r>
    </w:p>
    <w:p w:rsidR="0000691A" w:rsidRPr="003F2E22" w:rsidRDefault="0000691A" w:rsidP="002B1576">
      <w:pPr>
        <w:spacing w:after="200"/>
        <w:ind w:left="360"/>
        <w:jc w:val="both"/>
        <w:rPr>
          <w:szCs w:val="24"/>
        </w:rPr>
      </w:pPr>
      <w:r w:rsidRPr="003F2E22">
        <w:rPr>
          <w:szCs w:val="24"/>
        </w:rPr>
        <w:t>In April 2004</w:t>
      </w:r>
      <w:r>
        <w:rPr>
          <w:szCs w:val="24"/>
        </w:rPr>
        <w:t xml:space="preserve">, a </w:t>
      </w:r>
      <w:r w:rsidRPr="003F2E22">
        <w:rPr>
          <w:szCs w:val="24"/>
        </w:rPr>
        <w:t>20</w:t>
      </w:r>
      <w:r>
        <w:rPr>
          <w:szCs w:val="24"/>
        </w:rPr>
        <w:t>-</w:t>
      </w:r>
      <w:r w:rsidRPr="003F2E22">
        <w:rPr>
          <w:szCs w:val="24"/>
        </w:rPr>
        <w:t xml:space="preserve">year industrial lease was granted to a hotel promoter </w:t>
      </w:r>
      <w:r>
        <w:rPr>
          <w:szCs w:val="24"/>
        </w:rPr>
        <w:t xml:space="preserve">which was subsequently </w:t>
      </w:r>
      <w:r w:rsidRPr="003F2E22">
        <w:rPr>
          <w:szCs w:val="24"/>
        </w:rPr>
        <w:t xml:space="preserve">cancelled in December 2007. In January 2012, a plaint with summons was lodged against the promoter claiming the sum of Rs 1,160,300 for unpaid rent for the period July 2006 to December 2007. </w:t>
      </w:r>
      <w:r>
        <w:rPr>
          <w:szCs w:val="24"/>
        </w:rPr>
        <w:t>As of April 2014, the unpaid rent has not been recovered and no follow up in this respect was seen. In the meantime, RRA has allocated the site to a new promoter.</w:t>
      </w:r>
    </w:p>
    <w:p w:rsidR="00127B02" w:rsidRPr="00127B02" w:rsidRDefault="0000691A" w:rsidP="002B1576">
      <w:pPr>
        <w:numPr>
          <w:ilvl w:val="0"/>
          <w:numId w:val="7"/>
        </w:numPr>
        <w:ind w:left="360"/>
        <w:jc w:val="both"/>
        <w:rPr>
          <w:szCs w:val="24"/>
        </w:rPr>
      </w:pPr>
      <w:r w:rsidRPr="003E7208">
        <w:rPr>
          <w:i/>
          <w:szCs w:val="24"/>
        </w:rPr>
        <w:t xml:space="preserve">Water </w:t>
      </w:r>
      <w:r>
        <w:rPr>
          <w:i/>
          <w:szCs w:val="24"/>
        </w:rPr>
        <w:t>U</w:t>
      </w:r>
      <w:r w:rsidRPr="003E7208">
        <w:rPr>
          <w:i/>
          <w:szCs w:val="24"/>
        </w:rPr>
        <w:t xml:space="preserve">nit </w:t>
      </w:r>
      <w:r>
        <w:rPr>
          <w:i/>
          <w:szCs w:val="24"/>
        </w:rPr>
        <w:t>A</w:t>
      </w:r>
      <w:r w:rsidRPr="003E7208">
        <w:rPr>
          <w:i/>
          <w:szCs w:val="24"/>
        </w:rPr>
        <w:t>rrears: Rs 2,021,972</w:t>
      </w:r>
    </w:p>
    <w:p w:rsidR="00127B02" w:rsidRPr="00127B02" w:rsidRDefault="00127B02" w:rsidP="002B1576">
      <w:pPr>
        <w:ind w:left="360"/>
        <w:jc w:val="both"/>
        <w:rPr>
          <w:szCs w:val="24"/>
        </w:rPr>
      </w:pPr>
    </w:p>
    <w:p w:rsidR="0000691A" w:rsidRPr="003E7208" w:rsidRDefault="0000691A" w:rsidP="002B1576">
      <w:pPr>
        <w:ind w:left="360"/>
        <w:jc w:val="both"/>
        <w:rPr>
          <w:szCs w:val="24"/>
        </w:rPr>
      </w:pPr>
      <w:r w:rsidRPr="003E7208">
        <w:rPr>
          <w:szCs w:val="24"/>
        </w:rPr>
        <w:t xml:space="preserve">The RRA did not have recourse to legal action for the recovery of arrears for water rates amounting to Rs 2,021,972, as advised by its Legal Adviser since February 2009. Section 12 of the </w:t>
      </w:r>
      <w:proofErr w:type="spellStart"/>
      <w:r w:rsidRPr="003E7208">
        <w:rPr>
          <w:szCs w:val="24"/>
        </w:rPr>
        <w:t>Rodrigues</w:t>
      </w:r>
      <w:proofErr w:type="spellEnd"/>
      <w:r w:rsidRPr="003E7208">
        <w:rPr>
          <w:szCs w:val="24"/>
        </w:rPr>
        <w:t xml:space="preserve"> Water Rates Regulations </w:t>
      </w:r>
      <w:r>
        <w:rPr>
          <w:szCs w:val="24"/>
        </w:rPr>
        <w:t>(</w:t>
      </w:r>
      <w:r w:rsidRPr="003E7208">
        <w:rPr>
          <w:szCs w:val="24"/>
        </w:rPr>
        <w:t>1928</w:t>
      </w:r>
      <w:r>
        <w:rPr>
          <w:szCs w:val="24"/>
        </w:rPr>
        <w:t>)</w:t>
      </w:r>
      <w:r w:rsidRPr="003E7208">
        <w:rPr>
          <w:szCs w:val="24"/>
        </w:rPr>
        <w:t xml:space="preserve"> was also not being enforced for the recovery of debts.</w:t>
      </w:r>
    </w:p>
    <w:p w:rsidR="0000691A" w:rsidRPr="00D2151F" w:rsidRDefault="0000691A" w:rsidP="002B1576">
      <w:pPr>
        <w:jc w:val="both"/>
        <w:rPr>
          <w:szCs w:val="24"/>
        </w:rPr>
      </w:pPr>
    </w:p>
    <w:p w:rsidR="0000691A" w:rsidRPr="008523A0" w:rsidRDefault="0000691A" w:rsidP="00230DBC">
      <w:pPr>
        <w:jc w:val="both"/>
        <w:rPr>
          <w:szCs w:val="24"/>
        </w:rPr>
      </w:pPr>
      <w:r w:rsidRPr="00B65342">
        <w:rPr>
          <w:szCs w:val="24"/>
        </w:rPr>
        <w:t>According to Financial Instructions No. 1 of 2013 issued by the Ministry of Finance and Economic Development, Accounting Officer should ensure, among others</w:t>
      </w:r>
      <w:r>
        <w:rPr>
          <w:szCs w:val="24"/>
        </w:rPr>
        <w:t>,</w:t>
      </w:r>
      <w:r w:rsidRPr="00B65342">
        <w:rPr>
          <w:szCs w:val="24"/>
        </w:rPr>
        <w:t xml:space="preserve"> that a proper management information system is maintained to generate information on arrears of revenue and a timely follow-up of enforcement action</w:t>
      </w:r>
      <w:r>
        <w:rPr>
          <w:szCs w:val="24"/>
        </w:rPr>
        <w:t xml:space="preserve"> is made</w:t>
      </w:r>
      <w:r w:rsidRPr="00B65342">
        <w:rPr>
          <w:szCs w:val="24"/>
        </w:rPr>
        <w:t xml:space="preserve">. </w:t>
      </w:r>
      <w:r w:rsidRPr="008523A0">
        <w:rPr>
          <w:szCs w:val="24"/>
        </w:rPr>
        <w:t xml:space="preserve">There is no </w:t>
      </w:r>
      <w:r>
        <w:rPr>
          <w:szCs w:val="24"/>
        </w:rPr>
        <w:t>evidence</w:t>
      </w:r>
      <w:r w:rsidRPr="008523A0">
        <w:rPr>
          <w:szCs w:val="24"/>
        </w:rPr>
        <w:t xml:space="preserve"> that </w:t>
      </w:r>
      <w:r>
        <w:rPr>
          <w:szCs w:val="24"/>
        </w:rPr>
        <w:t>the instructions have been complied with</w:t>
      </w:r>
      <w:r w:rsidRPr="008523A0">
        <w:rPr>
          <w:szCs w:val="24"/>
        </w:rPr>
        <w:t>.</w:t>
      </w:r>
    </w:p>
    <w:p w:rsidR="0000691A" w:rsidRDefault="0000691A" w:rsidP="002B1576">
      <w:pPr>
        <w:jc w:val="both"/>
        <w:rPr>
          <w:szCs w:val="24"/>
        </w:rPr>
      </w:pPr>
    </w:p>
    <w:p w:rsidR="00FE0A53" w:rsidRDefault="00FE0A53" w:rsidP="002B1576">
      <w:pPr>
        <w:jc w:val="both"/>
        <w:rPr>
          <w:szCs w:val="24"/>
        </w:rPr>
      </w:pPr>
    </w:p>
    <w:p w:rsidR="00FE0A53" w:rsidRPr="000237BA" w:rsidRDefault="00FE0A53" w:rsidP="002B1576">
      <w:pPr>
        <w:jc w:val="both"/>
        <w:rPr>
          <w:b/>
          <w:i/>
          <w:szCs w:val="24"/>
        </w:rPr>
      </w:pPr>
      <w:r w:rsidRPr="000237BA">
        <w:rPr>
          <w:b/>
          <w:i/>
          <w:szCs w:val="24"/>
        </w:rPr>
        <w:t>RRA’s Reply</w:t>
      </w:r>
    </w:p>
    <w:p w:rsidR="00FE0A53" w:rsidRDefault="00FE0A53" w:rsidP="002B1576">
      <w:pPr>
        <w:jc w:val="both"/>
        <w:rPr>
          <w:szCs w:val="24"/>
        </w:rPr>
      </w:pPr>
    </w:p>
    <w:p w:rsidR="0000691A" w:rsidRDefault="00FE0A53" w:rsidP="002B1576">
      <w:pPr>
        <w:jc w:val="both"/>
        <w:rPr>
          <w:szCs w:val="24"/>
        </w:rPr>
      </w:pPr>
      <w:r>
        <w:rPr>
          <w:szCs w:val="24"/>
        </w:rPr>
        <w:t>T</w:t>
      </w:r>
      <w:r w:rsidRPr="000237BA">
        <w:rPr>
          <w:szCs w:val="24"/>
        </w:rPr>
        <w:t>he default cases will be referred to Legal Advisor for appropriate action.</w:t>
      </w:r>
      <w:r>
        <w:rPr>
          <w:szCs w:val="24"/>
        </w:rPr>
        <w:t xml:space="preserve"> </w:t>
      </w:r>
    </w:p>
    <w:p w:rsidR="00FE0A53" w:rsidRDefault="00FE0A53" w:rsidP="002B1576">
      <w:pPr>
        <w:jc w:val="both"/>
        <w:rPr>
          <w:szCs w:val="24"/>
        </w:rPr>
      </w:pPr>
    </w:p>
    <w:p w:rsidR="00C44FDB" w:rsidRDefault="00C44FDB" w:rsidP="002B1576">
      <w:pPr>
        <w:pStyle w:val="NoSpacing"/>
        <w:jc w:val="both"/>
        <w:rPr>
          <w:rFonts w:ascii="Times New Roman" w:hAnsi="Times New Roman"/>
          <w:b/>
          <w:sz w:val="24"/>
          <w:szCs w:val="24"/>
        </w:rPr>
        <w:sectPr w:rsidR="00C44FDB" w:rsidSect="00B70CFC">
          <w:footerReference w:type="default" r:id="rId14"/>
          <w:headerReference w:type="first" r:id="rId15"/>
          <w:pgSz w:w="11907" w:h="16839" w:code="9"/>
          <w:pgMar w:top="1440" w:right="1440" w:bottom="1440" w:left="1440" w:header="706" w:footer="432" w:gutter="0"/>
          <w:cols w:space="708"/>
          <w:titlePg/>
          <w:docGrid w:linePitch="326"/>
        </w:sectPr>
      </w:pPr>
    </w:p>
    <w:p w:rsidR="00F957A9" w:rsidRDefault="00F957A9" w:rsidP="002B1576">
      <w:pPr>
        <w:pStyle w:val="NoSpacing"/>
        <w:jc w:val="both"/>
        <w:rPr>
          <w:rFonts w:ascii="Times New Roman" w:hAnsi="Times New Roman"/>
          <w:b/>
          <w:sz w:val="24"/>
          <w:szCs w:val="24"/>
        </w:rPr>
      </w:pPr>
    </w:p>
    <w:p w:rsidR="0000691A" w:rsidRDefault="00CC449F" w:rsidP="002B1576">
      <w:pPr>
        <w:pStyle w:val="NoSpacing"/>
        <w:jc w:val="both"/>
        <w:rPr>
          <w:rFonts w:ascii="Times New Roman" w:hAnsi="Times New Roman"/>
          <w:b/>
          <w:sz w:val="24"/>
          <w:szCs w:val="24"/>
        </w:rPr>
      </w:pPr>
      <w:r>
        <w:rPr>
          <w:rFonts w:ascii="Times New Roman" w:hAnsi="Times New Roman"/>
          <w:b/>
          <w:sz w:val="24"/>
          <w:szCs w:val="24"/>
        </w:rPr>
        <w:t>3.1</w:t>
      </w:r>
      <w:r w:rsidR="004A483D">
        <w:rPr>
          <w:rFonts w:ascii="Times New Roman" w:hAnsi="Times New Roman"/>
          <w:b/>
          <w:sz w:val="24"/>
          <w:szCs w:val="24"/>
        </w:rPr>
        <w:t xml:space="preserve"> </w:t>
      </w:r>
      <w:r>
        <w:rPr>
          <w:rFonts w:ascii="Times New Roman" w:hAnsi="Times New Roman"/>
          <w:b/>
          <w:sz w:val="24"/>
          <w:szCs w:val="24"/>
        </w:rPr>
        <w:t xml:space="preserve"> </w:t>
      </w:r>
      <w:r w:rsidR="0000691A">
        <w:rPr>
          <w:rFonts w:ascii="Times New Roman" w:hAnsi="Times New Roman"/>
          <w:b/>
          <w:sz w:val="24"/>
          <w:szCs w:val="24"/>
        </w:rPr>
        <w:t>Investment in Private Companies</w:t>
      </w:r>
    </w:p>
    <w:p w:rsidR="0000691A" w:rsidRDefault="0000691A" w:rsidP="002B1576">
      <w:pPr>
        <w:pStyle w:val="NoSpacing"/>
        <w:jc w:val="both"/>
        <w:rPr>
          <w:rFonts w:ascii="Times New Roman" w:hAnsi="Times New Roman"/>
          <w:sz w:val="24"/>
          <w:szCs w:val="24"/>
        </w:rPr>
      </w:pPr>
    </w:p>
    <w:p w:rsidR="0000691A" w:rsidRPr="00A635F7" w:rsidRDefault="0000691A" w:rsidP="002B1576">
      <w:pPr>
        <w:pStyle w:val="NoSpacing"/>
        <w:jc w:val="both"/>
        <w:rPr>
          <w:rFonts w:ascii="Times New Roman" w:hAnsi="Times New Roman"/>
          <w:sz w:val="24"/>
          <w:szCs w:val="24"/>
        </w:rPr>
      </w:pPr>
      <w:r>
        <w:rPr>
          <w:rFonts w:ascii="Times New Roman" w:hAnsi="Times New Roman"/>
          <w:sz w:val="24"/>
          <w:szCs w:val="24"/>
        </w:rPr>
        <w:t xml:space="preserve">At paragraph 3.1 of the Audit Report for the years ended 31 December 2011 and 2012, I reported on a number of shortcomings relating to six private companies set up by RRA since 2006. Among the weaknesses noted were the non-compliance with the RRA (Investment Management) Regulations and requirements of the Ministry of Finance and Economic Development (MOFED). A lack of accountability by the private companies was also </w:t>
      </w:r>
      <w:r w:rsidRPr="00A635F7">
        <w:rPr>
          <w:rFonts w:ascii="Times New Roman" w:hAnsi="Times New Roman"/>
          <w:sz w:val="24"/>
          <w:szCs w:val="24"/>
        </w:rPr>
        <w:t>noted.</w:t>
      </w:r>
    </w:p>
    <w:p w:rsidR="0000691A" w:rsidRPr="00A635F7" w:rsidRDefault="0000691A" w:rsidP="002B1576">
      <w:pPr>
        <w:pStyle w:val="NoSpacing"/>
        <w:jc w:val="both"/>
        <w:rPr>
          <w:rFonts w:ascii="Times New Roman" w:hAnsi="Times New Roman"/>
          <w:sz w:val="24"/>
          <w:szCs w:val="24"/>
        </w:rPr>
      </w:pPr>
    </w:p>
    <w:p w:rsidR="0000691A" w:rsidRPr="00A635F7" w:rsidRDefault="0000691A" w:rsidP="002B1576">
      <w:pPr>
        <w:pStyle w:val="NoSpacing"/>
        <w:jc w:val="both"/>
        <w:rPr>
          <w:rFonts w:ascii="Times New Roman" w:hAnsi="Times New Roman"/>
          <w:sz w:val="24"/>
          <w:szCs w:val="24"/>
        </w:rPr>
      </w:pPr>
      <w:r w:rsidRPr="00A635F7">
        <w:rPr>
          <w:rFonts w:ascii="Times New Roman" w:hAnsi="Times New Roman"/>
          <w:sz w:val="24"/>
          <w:szCs w:val="24"/>
        </w:rPr>
        <w:t>Since the incorporation of the six companies up to 31 December 201</w:t>
      </w:r>
      <w:r>
        <w:rPr>
          <w:rFonts w:ascii="Times New Roman" w:hAnsi="Times New Roman"/>
          <w:sz w:val="24"/>
          <w:szCs w:val="24"/>
        </w:rPr>
        <w:t>3</w:t>
      </w:r>
      <w:r w:rsidRPr="00A635F7">
        <w:rPr>
          <w:rFonts w:ascii="Times New Roman" w:hAnsi="Times New Roman"/>
          <w:sz w:val="24"/>
          <w:szCs w:val="24"/>
        </w:rPr>
        <w:t xml:space="preserve">, the RRA had disbursed a total amount of Rs </w:t>
      </w:r>
      <w:r>
        <w:rPr>
          <w:rFonts w:ascii="Times New Roman" w:hAnsi="Times New Roman"/>
          <w:sz w:val="24"/>
          <w:szCs w:val="24"/>
        </w:rPr>
        <w:t>149.1</w:t>
      </w:r>
      <w:r w:rsidRPr="00A635F7">
        <w:rPr>
          <w:rFonts w:ascii="Times New Roman" w:hAnsi="Times New Roman"/>
          <w:sz w:val="24"/>
          <w:szCs w:val="24"/>
        </w:rPr>
        <w:t xml:space="preserve"> million to enable them to meet their operating costs. Investments as equity totalled Rs 42.5 million.</w:t>
      </w:r>
    </w:p>
    <w:p w:rsidR="0000691A" w:rsidRDefault="0000691A" w:rsidP="002B1576">
      <w:pPr>
        <w:pStyle w:val="NoSpacing"/>
        <w:jc w:val="both"/>
        <w:rPr>
          <w:rFonts w:ascii="Times New Roman" w:hAnsi="Times New Roman"/>
          <w:sz w:val="24"/>
          <w:szCs w:val="24"/>
        </w:rPr>
      </w:pPr>
    </w:p>
    <w:p w:rsidR="0000691A" w:rsidRPr="0021771E" w:rsidRDefault="0000691A" w:rsidP="002B1576">
      <w:pPr>
        <w:pStyle w:val="NoSpacing"/>
        <w:jc w:val="both"/>
        <w:rPr>
          <w:rFonts w:ascii="Times New Roman" w:hAnsi="Times New Roman"/>
          <w:sz w:val="24"/>
          <w:szCs w:val="24"/>
        </w:rPr>
      </w:pPr>
      <w:r>
        <w:rPr>
          <w:rFonts w:ascii="Times New Roman" w:hAnsi="Times New Roman"/>
          <w:sz w:val="24"/>
          <w:szCs w:val="24"/>
        </w:rPr>
        <w:t>T</w:t>
      </w:r>
      <w:r w:rsidRPr="0021771E">
        <w:rPr>
          <w:rFonts w:ascii="Times New Roman" w:hAnsi="Times New Roman"/>
          <w:sz w:val="24"/>
          <w:szCs w:val="24"/>
        </w:rPr>
        <w:t>he Executive Council approved the winding up of three</w:t>
      </w:r>
      <w:r>
        <w:rPr>
          <w:rFonts w:ascii="Times New Roman" w:hAnsi="Times New Roman"/>
          <w:sz w:val="24"/>
          <w:szCs w:val="24"/>
        </w:rPr>
        <w:t xml:space="preserve"> of the companies, </w:t>
      </w:r>
      <w:r w:rsidRPr="0021771E">
        <w:rPr>
          <w:rFonts w:ascii="Times New Roman" w:hAnsi="Times New Roman"/>
          <w:sz w:val="24"/>
          <w:szCs w:val="24"/>
        </w:rPr>
        <w:t xml:space="preserve">namely the </w:t>
      </w:r>
      <w:proofErr w:type="spellStart"/>
      <w:r w:rsidRPr="0021771E">
        <w:rPr>
          <w:rFonts w:ascii="Times New Roman" w:hAnsi="Times New Roman"/>
          <w:sz w:val="24"/>
          <w:szCs w:val="24"/>
        </w:rPr>
        <w:t>Rodrigues</w:t>
      </w:r>
      <w:proofErr w:type="spellEnd"/>
      <w:r w:rsidRPr="0021771E">
        <w:rPr>
          <w:rFonts w:ascii="Times New Roman" w:hAnsi="Times New Roman"/>
          <w:sz w:val="24"/>
          <w:szCs w:val="24"/>
        </w:rPr>
        <w:t xml:space="preserve"> Housing and Property Development Co</w:t>
      </w:r>
      <w:r>
        <w:rPr>
          <w:rFonts w:ascii="Times New Roman" w:hAnsi="Times New Roman"/>
          <w:sz w:val="24"/>
          <w:szCs w:val="24"/>
        </w:rPr>
        <w:t>mpany</w:t>
      </w:r>
      <w:r w:rsidRPr="0021771E">
        <w:rPr>
          <w:rFonts w:ascii="Times New Roman" w:hAnsi="Times New Roman"/>
          <w:sz w:val="24"/>
          <w:szCs w:val="24"/>
        </w:rPr>
        <w:t xml:space="preserve"> (RHPDC)</w:t>
      </w:r>
      <w:r w:rsidR="00341DE0" w:rsidRPr="00341DE0">
        <w:rPr>
          <w:rFonts w:ascii="Times New Roman" w:hAnsi="Times New Roman"/>
          <w:sz w:val="24"/>
          <w:szCs w:val="24"/>
        </w:rPr>
        <w:t xml:space="preserve"> </w:t>
      </w:r>
      <w:r w:rsidR="00341DE0" w:rsidRPr="0021771E">
        <w:rPr>
          <w:rFonts w:ascii="Times New Roman" w:hAnsi="Times New Roman"/>
          <w:sz w:val="24"/>
          <w:szCs w:val="24"/>
        </w:rPr>
        <w:t>Ltd</w:t>
      </w:r>
      <w:r w:rsidRPr="0021771E">
        <w:rPr>
          <w:rFonts w:ascii="Times New Roman" w:hAnsi="Times New Roman"/>
          <w:sz w:val="24"/>
          <w:szCs w:val="24"/>
        </w:rPr>
        <w:t xml:space="preserve">, the </w:t>
      </w:r>
      <w:proofErr w:type="spellStart"/>
      <w:r w:rsidRPr="0021771E">
        <w:rPr>
          <w:rFonts w:ascii="Times New Roman" w:hAnsi="Times New Roman"/>
          <w:sz w:val="24"/>
          <w:szCs w:val="24"/>
        </w:rPr>
        <w:t>Rodrigues</w:t>
      </w:r>
      <w:proofErr w:type="spellEnd"/>
      <w:r w:rsidRPr="0021771E">
        <w:rPr>
          <w:rFonts w:ascii="Times New Roman" w:hAnsi="Times New Roman"/>
          <w:sz w:val="24"/>
          <w:szCs w:val="24"/>
        </w:rPr>
        <w:t xml:space="preserve"> General Fishing Co</w:t>
      </w:r>
      <w:r>
        <w:rPr>
          <w:rFonts w:ascii="Times New Roman" w:hAnsi="Times New Roman"/>
          <w:sz w:val="24"/>
          <w:szCs w:val="24"/>
        </w:rPr>
        <w:t>mpany</w:t>
      </w:r>
      <w:r w:rsidRPr="0021771E">
        <w:rPr>
          <w:rFonts w:ascii="Times New Roman" w:hAnsi="Times New Roman"/>
          <w:sz w:val="24"/>
          <w:szCs w:val="24"/>
        </w:rPr>
        <w:t xml:space="preserve"> (RGFC)</w:t>
      </w:r>
      <w:r w:rsidR="00341DE0" w:rsidRPr="00341DE0">
        <w:rPr>
          <w:rFonts w:ascii="Times New Roman" w:hAnsi="Times New Roman"/>
          <w:sz w:val="24"/>
          <w:szCs w:val="24"/>
        </w:rPr>
        <w:t xml:space="preserve"> </w:t>
      </w:r>
      <w:r w:rsidR="00341DE0" w:rsidRPr="0021771E">
        <w:rPr>
          <w:rFonts w:ascii="Times New Roman" w:hAnsi="Times New Roman"/>
          <w:sz w:val="24"/>
          <w:szCs w:val="24"/>
        </w:rPr>
        <w:t>Ltd</w:t>
      </w:r>
      <w:r w:rsidRPr="0021771E">
        <w:rPr>
          <w:rFonts w:ascii="Times New Roman" w:hAnsi="Times New Roman"/>
          <w:sz w:val="24"/>
          <w:szCs w:val="24"/>
        </w:rPr>
        <w:t xml:space="preserve"> and the</w:t>
      </w:r>
      <w:r w:rsidR="00341DE0">
        <w:rPr>
          <w:rFonts w:ascii="Times New Roman" w:hAnsi="Times New Roman"/>
          <w:sz w:val="24"/>
          <w:szCs w:val="24"/>
        </w:rPr>
        <w:t xml:space="preserve"> </w:t>
      </w:r>
      <w:proofErr w:type="spellStart"/>
      <w:r w:rsidR="00341DE0">
        <w:rPr>
          <w:rFonts w:ascii="Times New Roman" w:hAnsi="Times New Roman"/>
          <w:sz w:val="24"/>
          <w:szCs w:val="24"/>
        </w:rPr>
        <w:t>Rodrigues</w:t>
      </w:r>
      <w:proofErr w:type="spellEnd"/>
      <w:r w:rsidR="00341DE0">
        <w:rPr>
          <w:rFonts w:ascii="Times New Roman" w:hAnsi="Times New Roman"/>
          <w:sz w:val="24"/>
          <w:szCs w:val="24"/>
        </w:rPr>
        <w:t xml:space="preserve"> Water Com</w:t>
      </w:r>
      <w:r>
        <w:rPr>
          <w:rFonts w:ascii="Times New Roman" w:hAnsi="Times New Roman"/>
          <w:sz w:val="24"/>
          <w:szCs w:val="24"/>
        </w:rPr>
        <w:t>pany (</w:t>
      </w:r>
      <w:r w:rsidRPr="0021771E">
        <w:rPr>
          <w:rFonts w:ascii="Times New Roman" w:hAnsi="Times New Roman"/>
          <w:sz w:val="24"/>
          <w:szCs w:val="24"/>
        </w:rPr>
        <w:t>RWC</w:t>
      </w:r>
      <w:r>
        <w:rPr>
          <w:rFonts w:ascii="Times New Roman" w:hAnsi="Times New Roman"/>
          <w:sz w:val="24"/>
          <w:szCs w:val="24"/>
        </w:rPr>
        <w:t>)</w:t>
      </w:r>
      <w:r w:rsidR="00341DE0">
        <w:rPr>
          <w:rFonts w:ascii="Times New Roman" w:hAnsi="Times New Roman"/>
          <w:sz w:val="24"/>
          <w:szCs w:val="24"/>
        </w:rPr>
        <w:t xml:space="preserve"> </w:t>
      </w:r>
      <w:r w:rsidR="00341DE0" w:rsidRPr="0021771E">
        <w:rPr>
          <w:rFonts w:ascii="Times New Roman" w:hAnsi="Times New Roman"/>
          <w:sz w:val="24"/>
          <w:szCs w:val="24"/>
        </w:rPr>
        <w:t>Ltd</w:t>
      </w:r>
      <w:r>
        <w:rPr>
          <w:rFonts w:ascii="Times New Roman" w:hAnsi="Times New Roman"/>
          <w:sz w:val="24"/>
          <w:szCs w:val="24"/>
        </w:rPr>
        <w:t xml:space="preserve"> as from March, April and August 2012 respectively. P</w:t>
      </w:r>
      <w:r w:rsidRPr="0021771E">
        <w:rPr>
          <w:rFonts w:ascii="Times New Roman" w:hAnsi="Times New Roman"/>
          <w:sz w:val="24"/>
          <w:szCs w:val="24"/>
        </w:rPr>
        <w:t>rocedures for the removal of the three companies from the Register of Companies were initiated as stipulated in Section 309(2)</w:t>
      </w:r>
      <w:r>
        <w:rPr>
          <w:rFonts w:ascii="Times New Roman" w:hAnsi="Times New Roman"/>
          <w:sz w:val="24"/>
          <w:szCs w:val="24"/>
        </w:rPr>
        <w:t xml:space="preserve"> of the Companies Act. As of 30 April 2014, the companies were not yet wound up.</w:t>
      </w:r>
    </w:p>
    <w:p w:rsidR="0000691A" w:rsidRDefault="0000691A" w:rsidP="002B1576">
      <w:pPr>
        <w:pStyle w:val="NoSpacing"/>
        <w:jc w:val="both"/>
        <w:rPr>
          <w:rFonts w:ascii="Times New Roman" w:hAnsi="Times New Roman"/>
          <w:sz w:val="24"/>
          <w:szCs w:val="24"/>
        </w:rPr>
      </w:pPr>
    </w:p>
    <w:p w:rsidR="00FE0A53" w:rsidRDefault="00FE0A53" w:rsidP="002B1576">
      <w:pPr>
        <w:pStyle w:val="NoSpacing"/>
        <w:jc w:val="both"/>
        <w:rPr>
          <w:rFonts w:ascii="Times New Roman" w:hAnsi="Times New Roman"/>
          <w:sz w:val="24"/>
          <w:szCs w:val="24"/>
        </w:rPr>
      </w:pPr>
    </w:p>
    <w:p w:rsidR="0000691A" w:rsidRPr="00CC449F" w:rsidRDefault="00CC449F" w:rsidP="002B1576">
      <w:pPr>
        <w:jc w:val="both"/>
        <w:rPr>
          <w:b/>
          <w:szCs w:val="24"/>
        </w:rPr>
      </w:pPr>
      <w:r w:rsidRPr="00CC449F">
        <w:rPr>
          <w:b/>
          <w:szCs w:val="24"/>
        </w:rPr>
        <w:t xml:space="preserve">3.2 </w:t>
      </w:r>
      <w:r w:rsidR="004A483D">
        <w:rPr>
          <w:b/>
          <w:szCs w:val="24"/>
        </w:rPr>
        <w:t xml:space="preserve"> </w:t>
      </w:r>
      <w:r w:rsidR="0000691A" w:rsidRPr="00CC449F">
        <w:rPr>
          <w:b/>
          <w:szCs w:val="24"/>
        </w:rPr>
        <w:t>Disbursements</w:t>
      </w:r>
    </w:p>
    <w:p w:rsidR="0000691A" w:rsidRPr="00B9501F" w:rsidRDefault="0000691A" w:rsidP="002B1576">
      <w:pPr>
        <w:jc w:val="both"/>
        <w:rPr>
          <w:b/>
          <w:i/>
          <w:szCs w:val="24"/>
        </w:rPr>
      </w:pPr>
    </w:p>
    <w:p w:rsidR="0000691A" w:rsidRDefault="0000691A" w:rsidP="002B1576">
      <w:pPr>
        <w:jc w:val="both"/>
        <w:rPr>
          <w:szCs w:val="24"/>
        </w:rPr>
      </w:pPr>
      <w:r w:rsidRPr="00BE5F5B">
        <w:rPr>
          <w:szCs w:val="24"/>
        </w:rPr>
        <w:t xml:space="preserve">During 2013, RRA disbursed a further amount of Rs 24,659,387 to meet the operating costs of three companies, namely Discovery </w:t>
      </w:r>
      <w:proofErr w:type="spellStart"/>
      <w:r w:rsidRPr="00BE5F5B">
        <w:rPr>
          <w:szCs w:val="24"/>
        </w:rPr>
        <w:t>Rodrigues</w:t>
      </w:r>
      <w:proofErr w:type="spellEnd"/>
      <w:r w:rsidRPr="00BE5F5B">
        <w:rPr>
          <w:szCs w:val="24"/>
        </w:rPr>
        <w:t xml:space="preserve"> Company Ltd, Rod Clean Company Ltd and </w:t>
      </w:r>
      <w:r w:rsidR="00230DBC">
        <w:rPr>
          <w:szCs w:val="24"/>
        </w:rPr>
        <w:t>RWC</w:t>
      </w:r>
      <w:r w:rsidRPr="00BE5F5B">
        <w:rPr>
          <w:szCs w:val="24"/>
        </w:rPr>
        <w:t xml:space="preserve"> Ltd, the latter being in the process of winding up. </w:t>
      </w:r>
    </w:p>
    <w:p w:rsidR="0000691A" w:rsidRPr="00BE5F5B" w:rsidRDefault="0000691A" w:rsidP="002B1576">
      <w:pPr>
        <w:jc w:val="both"/>
        <w:rPr>
          <w:szCs w:val="24"/>
        </w:rPr>
      </w:pPr>
    </w:p>
    <w:p w:rsidR="0000691A" w:rsidRPr="00BE5F5B" w:rsidRDefault="0000691A" w:rsidP="002B1576">
      <w:pPr>
        <w:pStyle w:val="ListParagraph"/>
        <w:spacing w:line="240" w:lineRule="auto"/>
        <w:ind w:left="0"/>
        <w:jc w:val="both"/>
        <w:rPr>
          <w:rFonts w:ascii="Times New Roman" w:hAnsi="Times New Roman"/>
          <w:sz w:val="24"/>
          <w:szCs w:val="24"/>
        </w:rPr>
      </w:pPr>
      <w:r w:rsidRPr="00BE5F5B">
        <w:rPr>
          <w:rFonts w:ascii="Times New Roman" w:hAnsi="Times New Roman"/>
          <w:sz w:val="24"/>
          <w:szCs w:val="24"/>
        </w:rPr>
        <w:t xml:space="preserve">Appropriation of funds in the PBB Estimates of RRA is made on the basis of programmes/sub-programmes appearing in the Estimates approved by the National Assembly. Funds for extra budgetary units are provided under the </w:t>
      </w:r>
      <w:r w:rsidR="00725B15">
        <w:rPr>
          <w:rFonts w:ascii="Times New Roman" w:hAnsi="Times New Roman"/>
          <w:sz w:val="24"/>
          <w:szCs w:val="24"/>
        </w:rPr>
        <w:t>S</w:t>
      </w:r>
      <w:r w:rsidRPr="00BE5F5B">
        <w:rPr>
          <w:rFonts w:ascii="Times New Roman" w:hAnsi="Times New Roman"/>
          <w:sz w:val="24"/>
          <w:szCs w:val="24"/>
        </w:rPr>
        <w:t>ub-</w:t>
      </w:r>
      <w:r w:rsidR="00725B15">
        <w:rPr>
          <w:rFonts w:ascii="Times New Roman" w:hAnsi="Times New Roman"/>
          <w:sz w:val="24"/>
          <w:szCs w:val="24"/>
        </w:rPr>
        <w:t>H</w:t>
      </w:r>
      <w:r w:rsidRPr="00BE5F5B">
        <w:rPr>
          <w:rFonts w:ascii="Times New Roman" w:hAnsi="Times New Roman"/>
          <w:sz w:val="24"/>
          <w:szCs w:val="24"/>
        </w:rPr>
        <w:t xml:space="preserve">ead “Grants” of the respective Commission. </w:t>
      </w:r>
    </w:p>
    <w:p w:rsidR="0000691A" w:rsidRPr="00BE5F5B" w:rsidRDefault="0000691A" w:rsidP="002B1576">
      <w:pPr>
        <w:pStyle w:val="ListParagraph"/>
        <w:spacing w:line="240" w:lineRule="auto"/>
        <w:ind w:left="0"/>
        <w:jc w:val="both"/>
        <w:rPr>
          <w:rFonts w:ascii="Times New Roman" w:hAnsi="Times New Roman"/>
          <w:sz w:val="24"/>
          <w:szCs w:val="24"/>
        </w:rPr>
      </w:pPr>
    </w:p>
    <w:p w:rsidR="0000691A" w:rsidRDefault="0000691A" w:rsidP="002B1576">
      <w:pPr>
        <w:pStyle w:val="ListParagraph"/>
        <w:spacing w:line="240" w:lineRule="auto"/>
        <w:ind w:left="0"/>
        <w:jc w:val="both"/>
        <w:rPr>
          <w:rFonts w:ascii="Times New Roman" w:hAnsi="Times New Roman"/>
          <w:sz w:val="24"/>
          <w:szCs w:val="24"/>
        </w:rPr>
      </w:pPr>
      <w:r w:rsidRPr="00BE5F5B">
        <w:rPr>
          <w:rFonts w:ascii="Times New Roman" w:hAnsi="Times New Roman"/>
          <w:sz w:val="24"/>
          <w:szCs w:val="24"/>
        </w:rPr>
        <w:t xml:space="preserve">For 2013, grants to the above companies were not approved by the National Assembly indicating that it was not in the intention of the Assembly to allocate any amount from the RRA budget to those companies. Nevertheless, funds were disbursed to the three companies from </w:t>
      </w:r>
      <w:r w:rsidR="00725B15">
        <w:rPr>
          <w:rFonts w:ascii="Times New Roman" w:hAnsi="Times New Roman"/>
          <w:sz w:val="24"/>
          <w:szCs w:val="24"/>
        </w:rPr>
        <w:t>I</w:t>
      </w:r>
      <w:r w:rsidRPr="00BE5F5B">
        <w:rPr>
          <w:rFonts w:ascii="Times New Roman" w:hAnsi="Times New Roman"/>
          <w:sz w:val="24"/>
          <w:szCs w:val="24"/>
        </w:rPr>
        <w:t xml:space="preserve">tems of different </w:t>
      </w:r>
      <w:r w:rsidR="00725B15">
        <w:rPr>
          <w:rFonts w:ascii="Times New Roman" w:hAnsi="Times New Roman"/>
          <w:sz w:val="24"/>
          <w:szCs w:val="24"/>
        </w:rPr>
        <w:t>P</w:t>
      </w:r>
      <w:r w:rsidRPr="00BE5F5B">
        <w:rPr>
          <w:rFonts w:ascii="Times New Roman" w:hAnsi="Times New Roman"/>
          <w:sz w:val="24"/>
          <w:szCs w:val="24"/>
        </w:rPr>
        <w:t>rogrammes appearing in the PBB Estimates of the Commission of Environment, Forestry, Tourism, Marine Parks and Fisheries, and a depo</w:t>
      </w:r>
      <w:r w:rsidR="00413372">
        <w:rPr>
          <w:rFonts w:ascii="Times New Roman" w:hAnsi="Times New Roman"/>
          <w:sz w:val="24"/>
          <w:szCs w:val="24"/>
        </w:rPr>
        <w:t>sit account, as shown in Table 8.</w:t>
      </w: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Default="00F957A9" w:rsidP="002B1576">
      <w:pPr>
        <w:pStyle w:val="ListParagraph"/>
        <w:spacing w:line="240" w:lineRule="auto"/>
        <w:ind w:left="0"/>
        <w:jc w:val="both"/>
        <w:rPr>
          <w:rFonts w:ascii="Times New Roman" w:hAnsi="Times New Roman"/>
          <w:sz w:val="24"/>
          <w:szCs w:val="24"/>
        </w:rPr>
      </w:pPr>
    </w:p>
    <w:p w:rsidR="00F957A9" w:rsidRPr="00BE5F5B" w:rsidRDefault="00F957A9" w:rsidP="002B1576">
      <w:pPr>
        <w:pStyle w:val="ListParagraph"/>
        <w:spacing w:line="240" w:lineRule="auto"/>
        <w:ind w:left="0"/>
        <w:jc w:val="both"/>
        <w:rPr>
          <w:rFonts w:ascii="Times New Roman" w:hAnsi="Times New Roman"/>
          <w:sz w:val="24"/>
          <w:szCs w:val="24"/>
        </w:rPr>
      </w:pPr>
    </w:p>
    <w:p w:rsidR="0000691A" w:rsidRPr="00BE5F5B" w:rsidRDefault="0000691A" w:rsidP="002B1576">
      <w:pPr>
        <w:pStyle w:val="ListParagraph"/>
        <w:spacing w:line="240" w:lineRule="auto"/>
        <w:ind w:left="0"/>
        <w:jc w:val="both"/>
        <w:rPr>
          <w:rFonts w:ascii="Times New Roman" w:hAnsi="Times New Roman"/>
          <w:sz w:val="24"/>
          <w:szCs w:val="24"/>
        </w:rPr>
      </w:pPr>
      <w:r w:rsidRPr="00BE5F5B">
        <w:rPr>
          <w:rFonts w:ascii="Times New Roman" w:hAnsi="Times New Roman"/>
          <w:sz w:val="24"/>
          <w:szCs w:val="24"/>
        </w:rPr>
        <w:t xml:space="preserve"> </w:t>
      </w:r>
    </w:p>
    <w:p w:rsidR="0000691A" w:rsidRDefault="00413372" w:rsidP="002B1576">
      <w:pPr>
        <w:pStyle w:val="ListParagraph"/>
        <w:spacing w:line="240" w:lineRule="auto"/>
        <w:ind w:left="0"/>
        <w:jc w:val="center"/>
        <w:rPr>
          <w:rFonts w:ascii="Times New Roman" w:hAnsi="Times New Roman"/>
          <w:i/>
          <w:sz w:val="24"/>
          <w:szCs w:val="24"/>
        </w:rPr>
      </w:pPr>
      <w:r>
        <w:rPr>
          <w:rFonts w:ascii="Times New Roman" w:hAnsi="Times New Roman"/>
          <w:i/>
          <w:sz w:val="24"/>
          <w:szCs w:val="24"/>
        </w:rPr>
        <w:lastRenderedPageBreak/>
        <w:t xml:space="preserve">Table 8  </w:t>
      </w:r>
      <w:r w:rsidR="0000691A" w:rsidRPr="00BE5F5B">
        <w:rPr>
          <w:rFonts w:ascii="Times New Roman" w:hAnsi="Times New Roman"/>
          <w:i/>
          <w:sz w:val="24"/>
          <w:szCs w:val="24"/>
        </w:rPr>
        <w:t>Funds granted to Companies during fiscal year 2013</w:t>
      </w:r>
    </w:p>
    <w:p w:rsidR="00F32FCD" w:rsidRDefault="00F32FCD" w:rsidP="002B1576">
      <w:pPr>
        <w:pStyle w:val="ListParagraph"/>
        <w:spacing w:after="0" w:line="240" w:lineRule="auto"/>
        <w:ind w:left="0"/>
        <w:jc w:val="center"/>
        <w:rPr>
          <w:rFonts w:ascii="Times New Roman" w:hAnsi="Times New Roman"/>
          <w:i/>
          <w:sz w:val="24"/>
          <w:szCs w:val="24"/>
        </w:rPr>
      </w:pPr>
    </w:p>
    <w:p w:rsidR="00F32FCD" w:rsidRPr="00BE5F5B" w:rsidRDefault="00F32FCD" w:rsidP="002B1576">
      <w:pPr>
        <w:pStyle w:val="ListParagraph"/>
        <w:pBdr>
          <w:top w:val="single" w:sz="4" w:space="1" w:color="auto"/>
        </w:pBdr>
        <w:spacing w:after="0" w:line="240" w:lineRule="auto"/>
        <w:ind w:left="0"/>
        <w:jc w:val="center"/>
        <w:rPr>
          <w:rFonts w:ascii="Times New Roman" w:hAnsi="Times New Roman"/>
          <w:i/>
          <w:sz w:val="24"/>
          <w:szCs w:val="24"/>
        </w:rPr>
      </w:pPr>
    </w:p>
    <w:tbl>
      <w:tblPr>
        <w:tblW w:w="8394" w:type="dxa"/>
        <w:jc w:val="center"/>
        <w:tblInd w:w="-2878" w:type="dxa"/>
        <w:tblLayout w:type="fixed"/>
        <w:tblLook w:val="04A0"/>
      </w:tblPr>
      <w:tblGrid>
        <w:gridCol w:w="3354"/>
        <w:gridCol w:w="1350"/>
        <w:gridCol w:w="3690"/>
      </w:tblGrid>
      <w:tr w:rsidR="0000691A" w:rsidRPr="000550AE" w:rsidTr="00F32FCD">
        <w:trPr>
          <w:trHeight w:val="567"/>
          <w:jc w:val="center"/>
        </w:trPr>
        <w:tc>
          <w:tcPr>
            <w:tcW w:w="3354" w:type="dxa"/>
          </w:tcPr>
          <w:p w:rsidR="0000691A" w:rsidRPr="00BE5F5B" w:rsidRDefault="0000691A" w:rsidP="002B1576">
            <w:pPr>
              <w:jc w:val="center"/>
              <w:rPr>
                <w:b/>
                <w:szCs w:val="24"/>
              </w:rPr>
            </w:pPr>
            <w:r w:rsidRPr="00BE5F5B">
              <w:rPr>
                <w:b/>
                <w:szCs w:val="24"/>
              </w:rPr>
              <w:t>Company</w:t>
            </w:r>
          </w:p>
        </w:tc>
        <w:tc>
          <w:tcPr>
            <w:tcW w:w="1350" w:type="dxa"/>
          </w:tcPr>
          <w:p w:rsidR="0000691A" w:rsidRPr="00BE5F5B" w:rsidRDefault="0000691A" w:rsidP="002B1576">
            <w:pPr>
              <w:jc w:val="center"/>
              <w:rPr>
                <w:b/>
                <w:szCs w:val="24"/>
              </w:rPr>
            </w:pPr>
            <w:r w:rsidRPr="00BE5F5B">
              <w:rPr>
                <w:b/>
                <w:szCs w:val="24"/>
              </w:rPr>
              <w:t>Amount</w:t>
            </w:r>
          </w:p>
          <w:p w:rsidR="0000691A" w:rsidRPr="00BE5F5B" w:rsidRDefault="0000691A" w:rsidP="00230DBC">
            <w:pPr>
              <w:pStyle w:val="ListParagraph"/>
              <w:spacing w:line="240" w:lineRule="auto"/>
              <w:ind w:left="0"/>
              <w:jc w:val="center"/>
              <w:rPr>
                <w:rFonts w:ascii="Times New Roman" w:hAnsi="Times New Roman"/>
                <w:b/>
                <w:sz w:val="24"/>
                <w:szCs w:val="24"/>
              </w:rPr>
            </w:pPr>
            <w:r w:rsidRPr="00BE5F5B">
              <w:rPr>
                <w:rFonts w:ascii="Times New Roman" w:hAnsi="Times New Roman"/>
                <w:b/>
                <w:sz w:val="24"/>
                <w:szCs w:val="24"/>
              </w:rPr>
              <w:t>Rs</w:t>
            </w:r>
          </w:p>
        </w:tc>
        <w:tc>
          <w:tcPr>
            <w:tcW w:w="3690" w:type="dxa"/>
          </w:tcPr>
          <w:p w:rsidR="0000691A" w:rsidRPr="00BE5F5B" w:rsidRDefault="0000691A" w:rsidP="002B1576">
            <w:pPr>
              <w:jc w:val="center"/>
              <w:rPr>
                <w:b/>
                <w:szCs w:val="24"/>
              </w:rPr>
            </w:pPr>
            <w:r w:rsidRPr="00BE5F5B">
              <w:rPr>
                <w:b/>
                <w:szCs w:val="24"/>
              </w:rPr>
              <w:t>Programme/Account</w:t>
            </w:r>
          </w:p>
        </w:tc>
      </w:tr>
      <w:tr w:rsidR="0000691A" w:rsidTr="00F32FCD">
        <w:trPr>
          <w:trHeight w:val="328"/>
          <w:jc w:val="center"/>
        </w:trPr>
        <w:tc>
          <w:tcPr>
            <w:tcW w:w="3354" w:type="dxa"/>
          </w:tcPr>
          <w:p w:rsidR="0000691A" w:rsidRPr="00BE5F5B" w:rsidRDefault="0000691A" w:rsidP="002B1576">
            <w:pPr>
              <w:rPr>
                <w:szCs w:val="24"/>
              </w:rPr>
            </w:pPr>
            <w:r w:rsidRPr="00BE5F5B">
              <w:rPr>
                <w:szCs w:val="24"/>
              </w:rPr>
              <w:t xml:space="preserve">Discovery </w:t>
            </w:r>
            <w:proofErr w:type="spellStart"/>
            <w:r w:rsidRPr="00BE5F5B">
              <w:rPr>
                <w:szCs w:val="24"/>
              </w:rPr>
              <w:t>Rodrigues</w:t>
            </w:r>
            <w:proofErr w:type="spellEnd"/>
            <w:r w:rsidRPr="00BE5F5B">
              <w:rPr>
                <w:szCs w:val="24"/>
              </w:rPr>
              <w:t xml:space="preserve"> Co. Ltd</w:t>
            </w:r>
          </w:p>
        </w:tc>
        <w:tc>
          <w:tcPr>
            <w:tcW w:w="1350" w:type="dxa"/>
          </w:tcPr>
          <w:p w:rsidR="0000691A" w:rsidRPr="00BE5F5B" w:rsidRDefault="0000691A" w:rsidP="002B1576">
            <w:pPr>
              <w:pStyle w:val="ListParagraph"/>
              <w:spacing w:line="240" w:lineRule="auto"/>
              <w:ind w:left="0"/>
              <w:jc w:val="right"/>
              <w:rPr>
                <w:rFonts w:ascii="Times New Roman" w:hAnsi="Times New Roman"/>
                <w:sz w:val="24"/>
                <w:szCs w:val="24"/>
              </w:rPr>
            </w:pPr>
            <w:r w:rsidRPr="00BE5F5B">
              <w:rPr>
                <w:rFonts w:ascii="Times New Roman" w:hAnsi="Times New Roman"/>
                <w:sz w:val="24"/>
                <w:szCs w:val="24"/>
              </w:rPr>
              <w:t>4,665,255</w:t>
            </w:r>
          </w:p>
        </w:tc>
        <w:tc>
          <w:tcPr>
            <w:tcW w:w="3690" w:type="dxa"/>
          </w:tcPr>
          <w:p w:rsidR="0000691A" w:rsidRPr="00BE5F5B" w:rsidRDefault="0000691A" w:rsidP="002B1576">
            <w:pPr>
              <w:pStyle w:val="ListParagraph"/>
              <w:spacing w:line="240" w:lineRule="auto"/>
              <w:ind w:left="0"/>
              <w:rPr>
                <w:rFonts w:ascii="Times New Roman" w:hAnsi="Times New Roman"/>
                <w:sz w:val="24"/>
                <w:szCs w:val="24"/>
              </w:rPr>
            </w:pPr>
            <w:r w:rsidRPr="00BE5F5B">
              <w:rPr>
                <w:rFonts w:ascii="Times New Roman" w:hAnsi="Times New Roman"/>
                <w:sz w:val="24"/>
                <w:szCs w:val="24"/>
              </w:rPr>
              <w:t>Tourism Development</w:t>
            </w:r>
          </w:p>
        </w:tc>
      </w:tr>
      <w:tr w:rsidR="0000691A" w:rsidTr="00F32FCD">
        <w:trPr>
          <w:trHeight w:val="575"/>
          <w:jc w:val="center"/>
        </w:trPr>
        <w:tc>
          <w:tcPr>
            <w:tcW w:w="3354" w:type="dxa"/>
          </w:tcPr>
          <w:p w:rsidR="0000691A" w:rsidRPr="00BE5F5B" w:rsidRDefault="0000691A" w:rsidP="002B1576">
            <w:pPr>
              <w:rPr>
                <w:szCs w:val="24"/>
              </w:rPr>
            </w:pPr>
            <w:r w:rsidRPr="00BE5F5B">
              <w:rPr>
                <w:szCs w:val="24"/>
              </w:rPr>
              <w:t>Rod Clean Co. Ltd</w:t>
            </w:r>
          </w:p>
        </w:tc>
        <w:tc>
          <w:tcPr>
            <w:tcW w:w="1350" w:type="dxa"/>
          </w:tcPr>
          <w:p w:rsidR="0000691A" w:rsidRPr="00BE5F5B" w:rsidRDefault="0000691A" w:rsidP="002B1576">
            <w:pPr>
              <w:pStyle w:val="ListParagraph"/>
              <w:spacing w:line="240" w:lineRule="auto"/>
              <w:ind w:left="0"/>
              <w:jc w:val="right"/>
              <w:rPr>
                <w:rFonts w:ascii="Times New Roman" w:hAnsi="Times New Roman"/>
                <w:sz w:val="24"/>
                <w:szCs w:val="24"/>
              </w:rPr>
            </w:pPr>
            <w:r w:rsidRPr="00BE5F5B">
              <w:rPr>
                <w:rFonts w:ascii="Times New Roman" w:hAnsi="Times New Roman"/>
                <w:sz w:val="24"/>
                <w:szCs w:val="24"/>
              </w:rPr>
              <w:t>19,964,510</w:t>
            </w:r>
          </w:p>
        </w:tc>
        <w:tc>
          <w:tcPr>
            <w:tcW w:w="3690" w:type="dxa"/>
          </w:tcPr>
          <w:p w:rsidR="0000691A" w:rsidRPr="00BE5F5B" w:rsidRDefault="0000691A" w:rsidP="002B1576">
            <w:pPr>
              <w:pStyle w:val="ListParagraph"/>
              <w:spacing w:line="240" w:lineRule="auto"/>
              <w:ind w:left="0"/>
              <w:rPr>
                <w:rFonts w:ascii="Times New Roman" w:hAnsi="Times New Roman"/>
                <w:sz w:val="24"/>
                <w:szCs w:val="24"/>
              </w:rPr>
            </w:pPr>
            <w:r w:rsidRPr="00BE5F5B">
              <w:rPr>
                <w:rFonts w:ascii="Times New Roman" w:hAnsi="Times New Roman"/>
                <w:sz w:val="24"/>
                <w:szCs w:val="24"/>
              </w:rPr>
              <w:t>Environment Protection and Conservation</w:t>
            </w:r>
          </w:p>
        </w:tc>
      </w:tr>
      <w:tr w:rsidR="0000691A" w:rsidTr="00F32FCD">
        <w:trPr>
          <w:trHeight w:val="328"/>
          <w:jc w:val="center"/>
        </w:trPr>
        <w:tc>
          <w:tcPr>
            <w:tcW w:w="3354" w:type="dxa"/>
          </w:tcPr>
          <w:p w:rsidR="0000691A" w:rsidRPr="00BE5F5B" w:rsidRDefault="0000691A" w:rsidP="002B1576">
            <w:pPr>
              <w:rPr>
                <w:szCs w:val="24"/>
              </w:rPr>
            </w:pPr>
            <w:proofErr w:type="spellStart"/>
            <w:r w:rsidRPr="00BE5F5B">
              <w:rPr>
                <w:szCs w:val="24"/>
              </w:rPr>
              <w:t>Rodrigues</w:t>
            </w:r>
            <w:proofErr w:type="spellEnd"/>
            <w:r w:rsidRPr="00BE5F5B">
              <w:rPr>
                <w:szCs w:val="24"/>
              </w:rPr>
              <w:t xml:space="preserve"> Water Company Ltd</w:t>
            </w:r>
          </w:p>
        </w:tc>
        <w:tc>
          <w:tcPr>
            <w:tcW w:w="1350" w:type="dxa"/>
          </w:tcPr>
          <w:p w:rsidR="0000691A" w:rsidRPr="00BE5F5B" w:rsidRDefault="0000691A" w:rsidP="002B1576">
            <w:pPr>
              <w:pStyle w:val="ListParagraph"/>
              <w:spacing w:line="240" w:lineRule="auto"/>
              <w:ind w:left="0"/>
              <w:jc w:val="right"/>
              <w:rPr>
                <w:rFonts w:ascii="Times New Roman" w:hAnsi="Times New Roman"/>
                <w:sz w:val="24"/>
                <w:szCs w:val="24"/>
              </w:rPr>
            </w:pPr>
            <w:r w:rsidRPr="00BE5F5B">
              <w:rPr>
                <w:rFonts w:ascii="Times New Roman" w:hAnsi="Times New Roman"/>
                <w:sz w:val="24"/>
                <w:szCs w:val="24"/>
              </w:rPr>
              <w:t>29,622</w:t>
            </w:r>
          </w:p>
        </w:tc>
        <w:tc>
          <w:tcPr>
            <w:tcW w:w="3690" w:type="dxa"/>
          </w:tcPr>
          <w:p w:rsidR="0000691A" w:rsidRPr="00BE5F5B" w:rsidRDefault="0000691A" w:rsidP="002B1576">
            <w:pPr>
              <w:pStyle w:val="ListParagraph"/>
              <w:spacing w:line="240" w:lineRule="auto"/>
              <w:ind w:left="0"/>
              <w:rPr>
                <w:rFonts w:ascii="Times New Roman" w:hAnsi="Times New Roman"/>
                <w:sz w:val="24"/>
                <w:szCs w:val="24"/>
              </w:rPr>
            </w:pPr>
            <w:r w:rsidRPr="00BE5F5B">
              <w:rPr>
                <w:rFonts w:ascii="Times New Roman" w:hAnsi="Times New Roman"/>
                <w:sz w:val="24"/>
                <w:szCs w:val="24"/>
              </w:rPr>
              <w:t>Deposit account</w:t>
            </w:r>
          </w:p>
        </w:tc>
      </w:tr>
      <w:tr w:rsidR="0000691A" w:rsidTr="00A3444F">
        <w:trPr>
          <w:trHeight w:val="288"/>
          <w:jc w:val="center"/>
        </w:trPr>
        <w:tc>
          <w:tcPr>
            <w:tcW w:w="3354" w:type="dxa"/>
          </w:tcPr>
          <w:p w:rsidR="0000691A" w:rsidRPr="00BE5F5B" w:rsidRDefault="0000691A" w:rsidP="00A3444F">
            <w:pPr>
              <w:pStyle w:val="ListParagraph"/>
              <w:spacing w:after="0" w:line="240" w:lineRule="auto"/>
              <w:ind w:left="0"/>
              <w:jc w:val="both"/>
              <w:rPr>
                <w:rFonts w:ascii="Times New Roman" w:hAnsi="Times New Roman"/>
                <w:b/>
                <w:sz w:val="24"/>
                <w:szCs w:val="24"/>
              </w:rPr>
            </w:pPr>
            <w:r w:rsidRPr="00BE5F5B">
              <w:rPr>
                <w:rFonts w:ascii="Times New Roman" w:hAnsi="Times New Roman"/>
                <w:b/>
                <w:sz w:val="24"/>
                <w:szCs w:val="24"/>
              </w:rPr>
              <w:t>Total</w:t>
            </w:r>
          </w:p>
        </w:tc>
        <w:tc>
          <w:tcPr>
            <w:tcW w:w="1350" w:type="dxa"/>
          </w:tcPr>
          <w:p w:rsidR="0000691A" w:rsidRPr="00BE5F5B" w:rsidRDefault="0000691A" w:rsidP="00A3444F">
            <w:pPr>
              <w:pStyle w:val="ListParagraph"/>
              <w:spacing w:after="0" w:line="240" w:lineRule="auto"/>
              <w:ind w:left="0"/>
              <w:jc w:val="right"/>
              <w:rPr>
                <w:rFonts w:ascii="Times New Roman" w:hAnsi="Times New Roman"/>
                <w:b/>
                <w:sz w:val="24"/>
                <w:szCs w:val="24"/>
              </w:rPr>
            </w:pPr>
            <w:r w:rsidRPr="00BE5F5B">
              <w:rPr>
                <w:rFonts w:ascii="Times New Roman" w:hAnsi="Times New Roman"/>
                <w:b/>
                <w:sz w:val="24"/>
                <w:szCs w:val="24"/>
              </w:rPr>
              <w:t>24,659,387</w:t>
            </w:r>
          </w:p>
        </w:tc>
        <w:tc>
          <w:tcPr>
            <w:tcW w:w="3690" w:type="dxa"/>
          </w:tcPr>
          <w:p w:rsidR="0000691A" w:rsidRPr="00BE5F5B" w:rsidRDefault="0000691A" w:rsidP="00A3444F">
            <w:pPr>
              <w:pStyle w:val="ListParagraph"/>
              <w:spacing w:after="0" w:line="240" w:lineRule="auto"/>
              <w:ind w:left="0"/>
              <w:jc w:val="right"/>
              <w:rPr>
                <w:rFonts w:ascii="Times New Roman" w:hAnsi="Times New Roman"/>
                <w:b/>
                <w:sz w:val="24"/>
                <w:szCs w:val="24"/>
              </w:rPr>
            </w:pPr>
          </w:p>
        </w:tc>
      </w:tr>
    </w:tbl>
    <w:p w:rsidR="0000691A" w:rsidRPr="00F32FCD" w:rsidRDefault="0000691A" w:rsidP="002B1576">
      <w:pPr>
        <w:pStyle w:val="ListParagraph"/>
        <w:pBdr>
          <w:bottom w:val="single" w:sz="4" w:space="1" w:color="auto"/>
        </w:pBdr>
        <w:spacing w:line="240" w:lineRule="auto"/>
        <w:ind w:left="0"/>
        <w:jc w:val="both"/>
        <w:rPr>
          <w:rFonts w:ascii="Times New Roman" w:hAnsi="Times New Roman"/>
          <w:sz w:val="24"/>
          <w:szCs w:val="24"/>
        </w:rPr>
      </w:pPr>
    </w:p>
    <w:p w:rsidR="0000691A" w:rsidRDefault="0000691A" w:rsidP="002B1576">
      <w:pPr>
        <w:pStyle w:val="NoSpacing"/>
        <w:jc w:val="both"/>
        <w:rPr>
          <w:rFonts w:ascii="Times New Roman" w:hAnsi="Times New Roman"/>
          <w:i/>
          <w:sz w:val="24"/>
          <w:szCs w:val="24"/>
        </w:rPr>
      </w:pPr>
    </w:p>
    <w:p w:rsidR="0000691A" w:rsidRPr="00CC449F" w:rsidRDefault="00CC449F" w:rsidP="002B1576">
      <w:pPr>
        <w:pStyle w:val="NoSpacing"/>
        <w:jc w:val="both"/>
        <w:rPr>
          <w:rFonts w:ascii="Times New Roman" w:hAnsi="Times New Roman"/>
          <w:b/>
          <w:sz w:val="24"/>
          <w:szCs w:val="24"/>
        </w:rPr>
      </w:pPr>
      <w:r w:rsidRPr="00CC449F">
        <w:rPr>
          <w:rFonts w:ascii="Times New Roman" w:hAnsi="Times New Roman"/>
          <w:b/>
          <w:sz w:val="24"/>
          <w:szCs w:val="24"/>
        </w:rPr>
        <w:t xml:space="preserve">3.3 </w:t>
      </w:r>
      <w:r w:rsidR="004A483D">
        <w:rPr>
          <w:rFonts w:ascii="Times New Roman" w:hAnsi="Times New Roman"/>
          <w:b/>
          <w:sz w:val="24"/>
          <w:szCs w:val="24"/>
        </w:rPr>
        <w:t xml:space="preserve"> </w:t>
      </w:r>
      <w:r w:rsidR="0000691A" w:rsidRPr="00CC449F">
        <w:rPr>
          <w:rFonts w:ascii="Times New Roman" w:hAnsi="Times New Roman"/>
          <w:b/>
          <w:sz w:val="24"/>
          <w:szCs w:val="24"/>
        </w:rPr>
        <w:t>Audited Accounts and Annual Reports</w:t>
      </w:r>
    </w:p>
    <w:p w:rsidR="0000691A" w:rsidRDefault="0000691A" w:rsidP="002B1576">
      <w:pPr>
        <w:pStyle w:val="NoSpacing"/>
        <w:jc w:val="both"/>
        <w:rPr>
          <w:rFonts w:ascii="Times New Roman" w:hAnsi="Times New Roman"/>
          <w:b/>
          <w:sz w:val="24"/>
          <w:szCs w:val="24"/>
        </w:rPr>
      </w:pPr>
    </w:p>
    <w:p w:rsidR="0000691A" w:rsidRPr="003470D8" w:rsidRDefault="0000691A" w:rsidP="002B1576">
      <w:pPr>
        <w:pStyle w:val="NoSpacing"/>
        <w:jc w:val="both"/>
        <w:rPr>
          <w:rFonts w:ascii="Times New Roman" w:hAnsi="Times New Roman"/>
          <w:sz w:val="24"/>
          <w:szCs w:val="24"/>
        </w:rPr>
      </w:pPr>
      <w:r w:rsidRPr="003470D8">
        <w:rPr>
          <w:rFonts w:ascii="Times New Roman" w:hAnsi="Times New Roman"/>
          <w:sz w:val="24"/>
          <w:szCs w:val="24"/>
        </w:rPr>
        <w:t>Contrary to</w:t>
      </w:r>
      <w:r>
        <w:rPr>
          <w:rFonts w:ascii="Times New Roman" w:hAnsi="Times New Roman"/>
          <w:sz w:val="24"/>
          <w:szCs w:val="24"/>
        </w:rPr>
        <w:t xml:space="preserve"> </w:t>
      </w:r>
      <w:r w:rsidRPr="003470D8">
        <w:rPr>
          <w:rFonts w:ascii="Times New Roman" w:hAnsi="Times New Roman"/>
          <w:sz w:val="24"/>
          <w:szCs w:val="24"/>
        </w:rPr>
        <w:t xml:space="preserve">Section 19 of the RRA Investment Management Regulations, the accounts of four companies, including two of the three companies in process of winding up, have not yet been audited as of </w:t>
      </w:r>
      <w:r>
        <w:rPr>
          <w:rFonts w:ascii="Times New Roman" w:hAnsi="Times New Roman"/>
          <w:sz w:val="24"/>
          <w:szCs w:val="24"/>
        </w:rPr>
        <w:t xml:space="preserve">6 </w:t>
      </w:r>
      <w:r w:rsidRPr="003470D8">
        <w:rPr>
          <w:rFonts w:ascii="Times New Roman" w:hAnsi="Times New Roman"/>
          <w:sz w:val="24"/>
          <w:szCs w:val="24"/>
        </w:rPr>
        <w:t xml:space="preserve">April 2014. </w:t>
      </w:r>
      <w:r>
        <w:rPr>
          <w:rFonts w:ascii="Times New Roman" w:hAnsi="Times New Roman"/>
          <w:sz w:val="24"/>
          <w:szCs w:val="24"/>
        </w:rPr>
        <w:t xml:space="preserve">The remaining two of the six companies have submitted their audited accounts for the years ended 31 March 2012 and 31 December 2012 respectively. </w:t>
      </w:r>
      <w:r w:rsidRPr="003470D8">
        <w:rPr>
          <w:rFonts w:ascii="Times New Roman" w:hAnsi="Times New Roman"/>
          <w:sz w:val="24"/>
          <w:szCs w:val="24"/>
        </w:rPr>
        <w:t xml:space="preserve">The Annual Reports </w:t>
      </w:r>
      <w:r>
        <w:rPr>
          <w:rFonts w:ascii="Times New Roman" w:hAnsi="Times New Roman"/>
          <w:sz w:val="24"/>
          <w:szCs w:val="24"/>
        </w:rPr>
        <w:t>of</w:t>
      </w:r>
      <w:r w:rsidRPr="003470D8">
        <w:rPr>
          <w:rFonts w:ascii="Times New Roman" w:hAnsi="Times New Roman"/>
          <w:sz w:val="24"/>
          <w:szCs w:val="24"/>
        </w:rPr>
        <w:t xml:space="preserve"> all the six companies were not seen to have been laid at the Regional Assembly as required by Section 20 of the Regulations.</w:t>
      </w:r>
    </w:p>
    <w:p w:rsidR="0000691A" w:rsidRPr="003470D8" w:rsidRDefault="0000691A" w:rsidP="002B1576">
      <w:pPr>
        <w:pStyle w:val="NoSpacing"/>
        <w:jc w:val="both"/>
        <w:rPr>
          <w:rFonts w:ascii="Times New Roman" w:hAnsi="Times New Roman"/>
          <w:sz w:val="24"/>
          <w:szCs w:val="24"/>
        </w:rPr>
      </w:pPr>
    </w:p>
    <w:p w:rsidR="0000691A" w:rsidRDefault="0000691A" w:rsidP="002B1576"/>
    <w:p w:rsidR="00CC449F" w:rsidRPr="00E553CD" w:rsidRDefault="00CC449F" w:rsidP="002B1576">
      <w:pPr>
        <w:spacing w:after="200"/>
        <w:jc w:val="both"/>
        <w:rPr>
          <w:rFonts w:eastAsia="Calibri"/>
          <w:b/>
          <w:szCs w:val="24"/>
          <w:lang w:val="en-US"/>
        </w:rPr>
      </w:pPr>
      <w:r>
        <w:rPr>
          <w:rFonts w:eastAsia="Calibri"/>
          <w:b/>
          <w:szCs w:val="24"/>
          <w:lang w:val="en-US"/>
        </w:rPr>
        <w:t>3.4</w:t>
      </w:r>
      <w:r w:rsidR="004A483D">
        <w:rPr>
          <w:rFonts w:eastAsia="Calibri"/>
          <w:b/>
          <w:szCs w:val="24"/>
          <w:lang w:val="en-US"/>
        </w:rPr>
        <w:t xml:space="preserve"> </w:t>
      </w:r>
      <w:r>
        <w:rPr>
          <w:rFonts w:eastAsia="Calibri"/>
          <w:b/>
          <w:szCs w:val="24"/>
          <w:lang w:val="en-US"/>
        </w:rPr>
        <w:t xml:space="preserve"> </w:t>
      </w:r>
      <w:r w:rsidRPr="00E553CD">
        <w:rPr>
          <w:rFonts w:eastAsia="Calibri"/>
          <w:b/>
          <w:szCs w:val="24"/>
          <w:lang w:val="en-US"/>
        </w:rPr>
        <w:t>Review of Projects in the Education Sector</w:t>
      </w:r>
    </w:p>
    <w:p w:rsidR="00CC449F" w:rsidRPr="00E553CD" w:rsidRDefault="00CC449F" w:rsidP="002B1576">
      <w:pPr>
        <w:jc w:val="both"/>
        <w:rPr>
          <w:rFonts w:eastAsia="Calibri"/>
          <w:b/>
          <w:szCs w:val="24"/>
          <w:lang w:val="en-US"/>
        </w:rPr>
      </w:pPr>
      <w:r w:rsidRPr="00E553CD">
        <w:rPr>
          <w:rFonts w:eastAsia="Calibri"/>
          <w:szCs w:val="24"/>
          <w:lang w:val="en-US"/>
        </w:rPr>
        <w:t>At paragraph 3.6 of the Audit Report for the year ended 31 December 2012, I adversely commented on the implementation of projects by the Commission for Education</w:t>
      </w:r>
      <w:r w:rsidRPr="00E553CD">
        <w:rPr>
          <w:rFonts w:eastAsia="Calibri"/>
          <w:b/>
          <w:szCs w:val="24"/>
          <w:lang w:val="en-US"/>
        </w:rPr>
        <w:t xml:space="preserve">. </w:t>
      </w:r>
      <w:r w:rsidRPr="00E553CD">
        <w:rPr>
          <w:rFonts w:eastAsia="Calibri"/>
          <w:szCs w:val="24"/>
          <w:lang w:val="en-US"/>
        </w:rPr>
        <w:t xml:space="preserve">Conditions of contracts were not strictly followed and were </w:t>
      </w:r>
      <w:r w:rsidR="00A3444F">
        <w:rPr>
          <w:rFonts w:eastAsia="Calibri"/>
          <w:szCs w:val="24"/>
          <w:lang w:val="en-US"/>
        </w:rPr>
        <w:t xml:space="preserve">thus </w:t>
      </w:r>
      <w:r w:rsidRPr="00E553CD">
        <w:rPr>
          <w:rFonts w:eastAsia="Calibri"/>
          <w:szCs w:val="24"/>
          <w:lang w:val="en-US"/>
        </w:rPr>
        <w:t>not in the interest of RRA.</w:t>
      </w:r>
    </w:p>
    <w:p w:rsidR="00CC449F" w:rsidRPr="00E553CD" w:rsidRDefault="00CC449F" w:rsidP="002B1576">
      <w:pPr>
        <w:jc w:val="both"/>
        <w:rPr>
          <w:rFonts w:eastAsia="Calibri"/>
          <w:szCs w:val="24"/>
          <w:lang w:val="en-US"/>
        </w:rPr>
      </w:pPr>
    </w:p>
    <w:p w:rsidR="00CC449F" w:rsidRDefault="00CC449F" w:rsidP="002B1576">
      <w:pPr>
        <w:jc w:val="both"/>
        <w:rPr>
          <w:rFonts w:eastAsia="Calibri"/>
          <w:szCs w:val="24"/>
          <w:lang w:val="en-US"/>
        </w:rPr>
      </w:pPr>
      <w:r w:rsidRPr="00E553CD">
        <w:rPr>
          <w:rFonts w:eastAsia="Calibri"/>
          <w:szCs w:val="24"/>
          <w:lang w:val="en-US"/>
        </w:rPr>
        <w:t>A review of Proj</w:t>
      </w:r>
      <w:r w:rsidR="00413372">
        <w:rPr>
          <w:rFonts w:eastAsia="Calibri"/>
          <w:szCs w:val="24"/>
          <w:lang w:val="en-US"/>
        </w:rPr>
        <w:t>ects 1 to 4, as shown in Table 9</w:t>
      </w:r>
      <w:r w:rsidRPr="00E553CD">
        <w:rPr>
          <w:rFonts w:eastAsia="Calibri"/>
          <w:szCs w:val="24"/>
          <w:lang w:val="en-US"/>
        </w:rPr>
        <w:t>, was carried out in April 2014.  Provisions of the Public Procurement Act (PPA) have not been followed. Conditions of contracts were again not complied with, while projects were not properly supervised, resulting in delays in completion and liquidated damages not applied.</w:t>
      </w: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230DBC" w:rsidRDefault="00230DBC" w:rsidP="002B1576">
      <w:pPr>
        <w:jc w:val="both"/>
        <w:rPr>
          <w:rFonts w:eastAsia="Calibri"/>
          <w:szCs w:val="24"/>
          <w:lang w:val="en-US"/>
        </w:rPr>
      </w:pPr>
    </w:p>
    <w:p w:rsidR="00AF4191" w:rsidRDefault="00AF4191"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F957A9" w:rsidRDefault="00F957A9" w:rsidP="002B1576">
      <w:pPr>
        <w:jc w:val="both"/>
        <w:rPr>
          <w:rFonts w:eastAsia="Calibri"/>
          <w:szCs w:val="24"/>
          <w:lang w:val="en-US"/>
        </w:rPr>
      </w:pPr>
    </w:p>
    <w:p w:rsidR="00CC449F" w:rsidRDefault="00CC449F" w:rsidP="002B1576">
      <w:pPr>
        <w:spacing w:after="200"/>
        <w:rPr>
          <w:rFonts w:eastAsia="Calibri"/>
          <w:szCs w:val="24"/>
          <w:lang w:val="en-US"/>
        </w:rPr>
      </w:pPr>
    </w:p>
    <w:p w:rsidR="00CC449F" w:rsidRPr="00E553CD" w:rsidRDefault="00413372" w:rsidP="002B1576">
      <w:pPr>
        <w:jc w:val="center"/>
        <w:rPr>
          <w:rFonts w:eastAsia="Calibri"/>
          <w:i/>
          <w:szCs w:val="24"/>
          <w:lang w:val="en-US"/>
        </w:rPr>
      </w:pPr>
      <w:r>
        <w:rPr>
          <w:rFonts w:eastAsia="Calibri"/>
          <w:i/>
          <w:szCs w:val="24"/>
          <w:lang w:val="en-US"/>
        </w:rPr>
        <w:lastRenderedPageBreak/>
        <w:t xml:space="preserve">Table 9  </w:t>
      </w:r>
      <w:r w:rsidR="00CC449F" w:rsidRPr="00E553CD">
        <w:rPr>
          <w:rFonts w:eastAsia="Calibri"/>
          <w:i/>
          <w:szCs w:val="24"/>
          <w:lang w:val="en-US"/>
        </w:rPr>
        <w:t>Details for Projects 1 to 4</w:t>
      </w:r>
    </w:p>
    <w:p w:rsidR="00CC449F" w:rsidRDefault="00CC449F" w:rsidP="002B1576">
      <w:pPr>
        <w:jc w:val="center"/>
        <w:rPr>
          <w:rFonts w:eastAsia="Calibri"/>
          <w:i/>
          <w:szCs w:val="24"/>
          <w:lang w:val="en-US"/>
        </w:rPr>
      </w:pPr>
    </w:p>
    <w:p w:rsidR="00CC449F" w:rsidRPr="00E553CD" w:rsidRDefault="00CC449F" w:rsidP="002B1576">
      <w:pPr>
        <w:pBdr>
          <w:top w:val="single" w:sz="4" w:space="1" w:color="auto"/>
        </w:pBdr>
        <w:jc w:val="center"/>
        <w:rPr>
          <w:rFonts w:eastAsia="Calibri"/>
          <w:i/>
          <w:szCs w:val="24"/>
          <w:lang w:val="en-US"/>
        </w:rPr>
      </w:pPr>
    </w:p>
    <w:tbl>
      <w:tblPr>
        <w:tblpPr w:leftFromText="180" w:rightFromText="180" w:vertAnchor="text" w:horzAnchor="page" w:tblpXSpec="center" w:tblpY="17"/>
        <w:tblW w:w="8982" w:type="dxa"/>
        <w:tblLayout w:type="fixed"/>
        <w:tblLook w:val="04A0"/>
      </w:tblPr>
      <w:tblGrid>
        <w:gridCol w:w="975"/>
        <w:gridCol w:w="1671"/>
        <w:gridCol w:w="1152"/>
        <w:gridCol w:w="1190"/>
        <w:gridCol w:w="1498"/>
        <w:gridCol w:w="1352"/>
        <w:gridCol w:w="1144"/>
      </w:tblGrid>
      <w:tr w:rsidR="00CC449F" w:rsidRPr="00E553CD" w:rsidTr="0090103C">
        <w:trPr>
          <w:trHeight w:val="1703"/>
        </w:trPr>
        <w:tc>
          <w:tcPr>
            <w:tcW w:w="975" w:type="dxa"/>
          </w:tcPr>
          <w:p w:rsidR="00CC449F" w:rsidRPr="00D03B50" w:rsidRDefault="00CC449F" w:rsidP="002B1576">
            <w:pPr>
              <w:jc w:val="center"/>
              <w:rPr>
                <w:rFonts w:eastAsia="Calibri"/>
                <w:b/>
                <w:szCs w:val="22"/>
                <w:lang w:val="en-US"/>
              </w:rPr>
            </w:pPr>
            <w:r w:rsidRPr="00D03B50">
              <w:rPr>
                <w:rFonts w:eastAsia="Calibri"/>
                <w:b/>
                <w:sz w:val="22"/>
                <w:szCs w:val="22"/>
                <w:lang w:val="en-US"/>
              </w:rPr>
              <w:t>Project No</w:t>
            </w:r>
          </w:p>
          <w:p w:rsidR="00CC449F" w:rsidRPr="00D03B50" w:rsidRDefault="00CC449F" w:rsidP="002B1576">
            <w:pPr>
              <w:jc w:val="center"/>
              <w:rPr>
                <w:rFonts w:eastAsia="Calibri"/>
                <w:b/>
                <w:szCs w:val="22"/>
                <w:lang w:val="en-US"/>
              </w:rPr>
            </w:pPr>
          </w:p>
        </w:tc>
        <w:tc>
          <w:tcPr>
            <w:tcW w:w="1671" w:type="dxa"/>
          </w:tcPr>
          <w:p w:rsidR="00CC449F" w:rsidRPr="00D03B50" w:rsidRDefault="00CC449F" w:rsidP="002B1576">
            <w:pPr>
              <w:jc w:val="center"/>
              <w:rPr>
                <w:rFonts w:eastAsia="Calibri"/>
                <w:b/>
                <w:szCs w:val="22"/>
                <w:lang w:val="en-US"/>
              </w:rPr>
            </w:pPr>
            <w:r w:rsidRPr="00D03B50">
              <w:rPr>
                <w:rFonts w:eastAsia="Calibri"/>
                <w:b/>
                <w:sz w:val="22"/>
                <w:szCs w:val="22"/>
                <w:lang w:val="en-US"/>
              </w:rPr>
              <w:t>Projects</w:t>
            </w:r>
          </w:p>
        </w:tc>
        <w:tc>
          <w:tcPr>
            <w:tcW w:w="1152" w:type="dxa"/>
          </w:tcPr>
          <w:p w:rsidR="00CC449F" w:rsidRPr="00D03B50" w:rsidRDefault="00CC449F" w:rsidP="002B1576">
            <w:pPr>
              <w:jc w:val="center"/>
              <w:rPr>
                <w:rFonts w:eastAsia="Calibri"/>
                <w:b/>
                <w:szCs w:val="22"/>
                <w:lang w:val="en-US"/>
              </w:rPr>
            </w:pPr>
            <w:r w:rsidRPr="00D03B50">
              <w:rPr>
                <w:rFonts w:eastAsia="Calibri"/>
                <w:b/>
                <w:sz w:val="22"/>
                <w:szCs w:val="22"/>
                <w:lang w:val="en-US"/>
              </w:rPr>
              <w:t>Contract Value</w:t>
            </w:r>
          </w:p>
          <w:p w:rsidR="00CC449F" w:rsidRPr="00D03B50" w:rsidRDefault="00CC449F" w:rsidP="002B1576">
            <w:pPr>
              <w:jc w:val="center"/>
              <w:rPr>
                <w:rFonts w:eastAsia="Calibri"/>
                <w:b/>
                <w:szCs w:val="22"/>
                <w:lang w:val="en-US"/>
              </w:rPr>
            </w:pPr>
          </w:p>
          <w:p w:rsidR="00CC449F" w:rsidRPr="00D03B50" w:rsidRDefault="00CC449F" w:rsidP="002B1576">
            <w:pPr>
              <w:jc w:val="center"/>
              <w:rPr>
                <w:rFonts w:eastAsia="Calibri"/>
                <w:b/>
                <w:szCs w:val="22"/>
                <w:lang w:val="en-US"/>
              </w:rPr>
            </w:pPr>
          </w:p>
          <w:p w:rsidR="00CC449F" w:rsidRPr="00D03B50" w:rsidRDefault="00CC449F" w:rsidP="002B1576">
            <w:pPr>
              <w:jc w:val="center"/>
              <w:rPr>
                <w:rFonts w:eastAsia="Calibri"/>
                <w:b/>
                <w:szCs w:val="22"/>
                <w:lang w:val="en-US"/>
              </w:rPr>
            </w:pPr>
          </w:p>
          <w:p w:rsidR="00CC449F" w:rsidRPr="00D03B50" w:rsidRDefault="00CC449F" w:rsidP="002B1576">
            <w:pPr>
              <w:jc w:val="center"/>
              <w:rPr>
                <w:rFonts w:eastAsia="Calibri"/>
                <w:b/>
                <w:szCs w:val="22"/>
                <w:lang w:val="en-US"/>
              </w:rPr>
            </w:pPr>
            <w:r w:rsidRPr="00D03B50">
              <w:rPr>
                <w:rFonts w:eastAsia="Calibri"/>
                <w:b/>
                <w:sz w:val="22"/>
                <w:szCs w:val="22"/>
                <w:lang w:val="en-US"/>
              </w:rPr>
              <w:t>Rs</w:t>
            </w:r>
          </w:p>
        </w:tc>
        <w:tc>
          <w:tcPr>
            <w:tcW w:w="1190" w:type="dxa"/>
          </w:tcPr>
          <w:p w:rsidR="00CC449F" w:rsidRPr="00D03B50" w:rsidRDefault="00CC449F" w:rsidP="002B1576">
            <w:pPr>
              <w:jc w:val="center"/>
              <w:rPr>
                <w:rFonts w:eastAsia="Calibri"/>
                <w:b/>
                <w:szCs w:val="22"/>
                <w:lang w:val="en-US"/>
              </w:rPr>
            </w:pPr>
            <w:r w:rsidRPr="00D03B50">
              <w:rPr>
                <w:rFonts w:eastAsia="Calibri"/>
                <w:b/>
                <w:sz w:val="22"/>
                <w:szCs w:val="22"/>
                <w:lang w:val="en-US"/>
              </w:rPr>
              <w:t>Date of award</w:t>
            </w:r>
          </w:p>
        </w:tc>
        <w:tc>
          <w:tcPr>
            <w:tcW w:w="1498" w:type="dxa"/>
          </w:tcPr>
          <w:p w:rsidR="00CC449F" w:rsidRPr="00D03B50" w:rsidRDefault="00CC449F" w:rsidP="002B1576">
            <w:pPr>
              <w:jc w:val="center"/>
              <w:rPr>
                <w:rFonts w:eastAsia="Calibri"/>
                <w:b/>
                <w:szCs w:val="22"/>
                <w:lang w:val="en-US"/>
              </w:rPr>
            </w:pPr>
            <w:r w:rsidRPr="00D03B50">
              <w:rPr>
                <w:rFonts w:eastAsia="Calibri"/>
                <w:b/>
                <w:sz w:val="22"/>
                <w:szCs w:val="22"/>
                <w:lang w:val="en-US"/>
              </w:rPr>
              <w:t>Contractual</w:t>
            </w:r>
          </w:p>
          <w:p w:rsidR="00CC449F" w:rsidRPr="00D03B50" w:rsidRDefault="00CC449F" w:rsidP="002B1576">
            <w:pPr>
              <w:jc w:val="center"/>
              <w:rPr>
                <w:rFonts w:eastAsia="Calibri"/>
                <w:b/>
                <w:szCs w:val="22"/>
                <w:lang w:val="en-US"/>
              </w:rPr>
            </w:pPr>
            <w:r w:rsidRPr="00D03B50">
              <w:rPr>
                <w:rFonts w:eastAsia="Calibri"/>
                <w:b/>
                <w:sz w:val="22"/>
                <w:szCs w:val="22"/>
                <w:lang w:val="en-US"/>
              </w:rPr>
              <w:t>Completion date</w:t>
            </w:r>
          </w:p>
        </w:tc>
        <w:tc>
          <w:tcPr>
            <w:tcW w:w="1352" w:type="dxa"/>
          </w:tcPr>
          <w:p w:rsidR="00CC449F" w:rsidRPr="00D03B50" w:rsidRDefault="00CC449F" w:rsidP="002B1576">
            <w:pPr>
              <w:jc w:val="center"/>
              <w:rPr>
                <w:rFonts w:eastAsia="Calibri"/>
                <w:b/>
                <w:szCs w:val="22"/>
                <w:lang w:val="en-US"/>
              </w:rPr>
            </w:pPr>
            <w:r w:rsidRPr="00D03B50">
              <w:rPr>
                <w:rFonts w:eastAsia="Calibri"/>
                <w:b/>
                <w:sz w:val="22"/>
                <w:szCs w:val="22"/>
                <w:lang w:val="en-US"/>
              </w:rPr>
              <w:t>Practical completion date</w:t>
            </w:r>
          </w:p>
          <w:p w:rsidR="00CC449F" w:rsidRPr="00D03B50" w:rsidRDefault="00CC449F" w:rsidP="002B1576">
            <w:pPr>
              <w:jc w:val="center"/>
              <w:rPr>
                <w:rFonts w:eastAsia="Calibri"/>
                <w:b/>
                <w:szCs w:val="22"/>
                <w:lang w:val="en-US"/>
              </w:rPr>
            </w:pPr>
            <w:r w:rsidRPr="00D03B50">
              <w:rPr>
                <w:rFonts w:eastAsia="Calibri"/>
                <w:b/>
                <w:sz w:val="22"/>
                <w:szCs w:val="22"/>
                <w:lang w:val="en-US"/>
              </w:rPr>
              <w:t>(as per Notes of Meeting)</w:t>
            </w:r>
          </w:p>
        </w:tc>
        <w:tc>
          <w:tcPr>
            <w:tcW w:w="1144" w:type="dxa"/>
          </w:tcPr>
          <w:p w:rsidR="00CC449F" w:rsidRPr="00D03B50" w:rsidRDefault="00CC449F" w:rsidP="002B1576">
            <w:pPr>
              <w:jc w:val="center"/>
              <w:rPr>
                <w:rFonts w:eastAsia="Calibri"/>
                <w:b/>
                <w:szCs w:val="22"/>
                <w:lang w:val="en-US"/>
              </w:rPr>
            </w:pPr>
            <w:r w:rsidRPr="00D03B50">
              <w:rPr>
                <w:rFonts w:eastAsia="Calibri"/>
                <w:b/>
                <w:sz w:val="22"/>
                <w:szCs w:val="22"/>
                <w:lang w:val="en-US"/>
              </w:rPr>
              <w:t xml:space="preserve">Amount paid as of March 2014 </w:t>
            </w:r>
          </w:p>
          <w:p w:rsidR="00CC449F" w:rsidRPr="00D03B50" w:rsidRDefault="00CC449F" w:rsidP="002B1576">
            <w:pPr>
              <w:jc w:val="center"/>
              <w:rPr>
                <w:rFonts w:eastAsia="Calibri"/>
                <w:b/>
                <w:szCs w:val="22"/>
                <w:lang w:val="en-US"/>
              </w:rPr>
            </w:pPr>
          </w:p>
          <w:p w:rsidR="00CC449F" w:rsidRPr="00D03B50" w:rsidRDefault="00CC449F" w:rsidP="002B1576">
            <w:pPr>
              <w:jc w:val="center"/>
              <w:rPr>
                <w:rFonts w:eastAsia="Calibri"/>
                <w:b/>
                <w:szCs w:val="22"/>
                <w:lang w:val="en-US"/>
              </w:rPr>
            </w:pPr>
            <w:r w:rsidRPr="00D03B50">
              <w:rPr>
                <w:rFonts w:eastAsia="Calibri"/>
                <w:b/>
                <w:sz w:val="22"/>
                <w:szCs w:val="22"/>
                <w:lang w:val="en-US"/>
              </w:rPr>
              <w:t>Rs</w:t>
            </w:r>
          </w:p>
        </w:tc>
      </w:tr>
      <w:tr w:rsidR="00CC449F" w:rsidRPr="00E553CD" w:rsidTr="0090103C">
        <w:trPr>
          <w:trHeight w:val="993"/>
        </w:trPr>
        <w:tc>
          <w:tcPr>
            <w:tcW w:w="975" w:type="dxa"/>
            <w:tcMar>
              <w:left w:w="115" w:type="dxa"/>
              <w:bottom w:w="43" w:type="dxa"/>
              <w:right w:w="115" w:type="dxa"/>
            </w:tcMar>
          </w:tcPr>
          <w:p w:rsidR="00CC449F" w:rsidRPr="00E553CD" w:rsidRDefault="00CC449F" w:rsidP="002B1576">
            <w:pPr>
              <w:jc w:val="center"/>
              <w:rPr>
                <w:rFonts w:eastAsia="Calibri"/>
                <w:szCs w:val="22"/>
                <w:lang w:val="en-US"/>
              </w:rPr>
            </w:pPr>
            <w:r w:rsidRPr="00E553CD">
              <w:rPr>
                <w:rFonts w:eastAsia="Calibri"/>
                <w:sz w:val="22"/>
                <w:szCs w:val="22"/>
                <w:lang w:val="en-US"/>
              </w:rPr>
              <w:t>1</w:t>
            </w:r>
          </w:p>
        </w:tc>
        <w:tc>
          <w:tcPr>
            <w:tcW w:w="1671" w:type="dxa"/>
            <w:tcMar>
              <w:left w:w="115" w:type="dxa"/>
              <w:bottom w:w="43" w:type="dxa"/>
              <w:right w:w="115" w:type="dxa"/>
            </w:tcMar>
          </w:tcPr>
          <w:p w:rsidR="00CC449F" w:rsidRPr="00E553CD" w:rsidRDefault="00CC449F" w:rsidP="002B1576">
            <w:pPr>
              <w:jc w:val="both"/>
              <w:rPr>
                <w:rFonts w:eastAsia="Calibri"/>
                <w:szCs w:val="22"/>
                <w:lang w:val="en-US"/>
              </w:rPr>
            </w:pPr>
            <w:r w:rsidRPr="00E553CD">
              <w:rPr>
                <w:rFonts w:eastAsia="Calibri"/>
                <w:sz w:val="22"/>
                <w:szCs w:val="22"/>
                <w:lang w:val="en-US"/>
              </w:rPr>
              <w:t xml:space="preserve">Two classrooms at </w:t>
            </w:r>
            <w:proofErr w:type="spellStart"/>
            <w:r w:rsidRPr="00E553CD">
              <w:rPr>
                <w:rFonts w:eastAsia="Calibri"/>
                <w:sz w:val="22"/>
                <w:szCs w:val="22"/>
                <w:lang w:val="en-US"/>
              </w:rPr>
              <w:t>Montagne</w:t>
            </w:r>
            <w:proofErr w:type="spellEnd"/>
            <w:r w:rsidRPr="00E553CD">
              <w:rPr>
                <w:rFonts w:eastAsia="Calibri"/>
                <w:sz w:val="22"/>
                <w:szCs w:val="22"/>
                <w:lang w:val="en-US"/>
              </w:rPr>
              <w:t xml:space="preserve"> </w:t>
            </w:r>
            <w:proofErr w:type="spellStart"/>
            <w:r w:rsidRPr="00E553CD">
              <w:rPr>
                <w:rFonts w:eastAsia="Calibri"/>
                <w:sz w:val="22"/>
                <w:szCs w:val="22"/>
                <w:lang w:val="en-US"/>
              </w:rPr>
              <w:t>Charlot</w:t>
            </w:r>
            <w:proofErr w:type="spellEnd"/>
            <w:r w:rsidRPr="00E553CD">
              <w:rPr>
                <w:rFonts w:eastAsia="Calibri"/>
                <w:sz w:val="22"/>
                <w:szCs w:val="22"/>
                <w:lang w:val="en-US"/>
              </w:rPr>
              <w:t xml:space="preserve">  Government School (GS)</w:t>
            </w:r>
          </w:p>
        </w:tc>
        <w:tc>
          <w:tcPr>
            <w:tcW w:w="1152" w:type="dxa"/>
            <w:tcMar>
              <w:left w:w="115" w:type="dxa"/>
              <w:bottom w:w="43"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2,691,000</w:t>
            </w:r>
          </w:p>
        </w:tc>
        <w:tc>
          <w:tcPr>
            <w:tcW w:w="1190" w:type="dxa"/>
            <w:tcMar>
              <w:left w:w="115" w:type="dxa"/>
              <w:bottom w:w="43"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24.06.13</w:t>
            </w:r>
          </w:p>
        </w:tc>
        <w:tc>
          <w:tcPr>
            <w:tcW w:w="1498" w:type="dxa"/>
            <w:tcMar>
              <w:left w:w="115" w:type="dxa"/>
              <w:bottom w:w="43"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06.11.13</w:t>
            </w:r>
          </w:p>
        </w:tc>
        <w:tc>
          <w:tcPr>
            <w:tcW w:w="1352" w:type="dxa"/>
            <w:tcMar>
              <w:left w:w="115" w:type="dxa"/>
              <w:bottom w:w="43"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10.12.13</w:t>
            </w:r>
          </w:p>
        </w:tc>
        <w:tc>
          <w:tcPr>
            <w:tcW w:w="1144" w:type="dxa"/>
            <w:tcMar>
              <w:left w:w="115" w:type="dxa"/>
              <w:bottom w:w="43"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2,129,685</w:t>
            </w:r>
          </w:p>
        </w:tc>
      </w:tr>
      <w:tr w:rsidR="00CC449F" w:rsidRPr="00E553CD" w:rsidTr="0090103C">
        <w:trPr>
          <w:trHeight w:val="822"/>
        </w:trPr>
        <w:tc>
          <w:tcPr>
            <w:tcW w:w="975" w:type="dxa"/>
            <w:tcMar>
              <w:left w:w="115" w:type="dxa"/>
              <w:bottom w:w="58" w:type="dxa"/>
              <w:right w:w="115" w:type="dxa"/>
            </w:tcMar>
          </w:tcPr>
          <w:p w:rsidR="00CC449F" w:rsidRPr="00E553CD" w:rsidRDefault="00CC449F" w:rsidP="002B1576">
            <w:pPr>
              <w:jc w:val="center"/>
              <w:rPr>
                <w:rFonts w:eastAsia="Calibri"/>
                <w:szCs w:val="22"/>
                <w:lang w:val="en-US"/>
              </w:rPr>
            </w:pPr>
            <w:r w:rsidRPr="00E553CD">
              <w:rPr>
                <w:rFonts w:eastAsia="Calibri"/>
                <w:sz w:val="22"/>
                <w:szCs w:val="22"/>
                <w:lang w:val="en-US"/>
              </w:rPr>
              <w:t>2</w:t>
            </w:r>
          </w:p>
        </w:tc>
        <w:tc>
          <w:tcPr>
            <w:tcW w:w="1671" w:type="dxa"/>
            <w:tcMar>
              <w:left w:w="115" w:type="dxa"/>
              <w:bottom w:w="58" w:type="dxa"/>
              <w:right w:w="115" w:type="dxa"/>
            </w:tcMar>
          </w:tcPr>
          <w:p w:rsidR="00CC449F" w:rsidRPr="00E553CD" w:rsidRDefault="00CC449F" w:rsidP="002B1576">
            <w:pPr>
              <w:rPr>
                <w:rFonts w:eastAsia="Calibri"/>
                <w:szCs w:val="22"/>
                <w:lang w:val="en-US"/>
              </w:rPr>
            </w:pPr>
            <w:r w:rsidRPr="00E553CD">
              <w:rPr>
                <w:rFonts w:eastAsia="Calibri"/>
                <w:sz w:val="22"/>
                <w:szCs w:val="22"/>
                <w:lang w:val="en-US"/>
              </w:rPr>
              <w:t xml:space="preserve">Four classrooms at Roche Bon </w:t>
            </w:r>
            <w:proofErr w:type="spellStart"/>
            <w:r w:rsidRPr="00E553CD">
              <w:rPr>
                <w:rFonts w:eastAsia="Calibri"/>
                <w:sz w:val="22"/>
                <w:szCs w:val="22"/>
                <w:lang w:val="en-US"/>
              </w:rPr>
              <w:t>Dieu</w:t>
            </w:r>
            <w:proofErr w:type="spellEnd"/>
            <w:r w:rsidRPr="00E553CD">
              <w:rPr>
                <w:rFonts w:eastAsia="Calibri"/>
                <w:sz w:val="22"/>
                <w:szCs w:val="22"/>
                <w:lang w:val="en-US"/>
              </w:rPr>
              <w:t xml:space="preserve"> GS</w:t>
            </w:r>
          </w:p>
        </w:tc>
        <w:tc>
          <w:tcPr>
            <w:tcW w:w="1152"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5,502,229</w:t>
            </w:r>
          </w:p>
        </w:tc>
        <w:tc>
          <w:tcPr>
            <w:tcW w:w="1190"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22.05.13</w:t>
            </w:r>
          </w:p>
        </w:tc>
        <w:tc>
          <w:tcPr>
            <w:tcW w:w="1498"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08.11.13</w:t>
            </w:r>
          </w:p>
        </w:tc>
        <w:tc>
          <w:tcPr>
            <w:tcW w:w="1352"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17.04.14</w:t>
            </w:r>
          </w:p>
        </w:tc>
        <w:tc>
          <w:tcPr>
            <w:tcW w:w="1144"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3,489,305</w:t>
            </w:r>
          </w:p>
        </w:tc>
      </w:tr>
      <w:tr w:rsidR="00CC449F" w:rsidRPr="00E553CD" w:rsidTr="0090103C">
        <w:trPr>
          <w:trHeight w:val="732"/>
        </w:trPr>
        <w:tc>
          <w:tcPr>
            <w:tcW w:w="975" w:type="dxa"/>
            <w:tcMar>
              <w:left w:w="115" w:type="dxa"/>
              <w:bottom w:w="58" w:type="dxa"/>
              <w:right w:w="115" w:type="dxa"/>
            </w:tcMar>
          </w:tcPr>
          <w:p w:rsidR="00CC449F" w:rsidRPr="00E553CD" w:rsidRDefault="00CC449F" w:rsidP="002B1576">
            <w:pPr>
              <w:jc w:val="center"/>
              <w:rPr>
                <w:rFonts w:eastAsia="Calibri"/>
                <w:szCs w:val="22"/>
                <w:lang w:val="en-US"/>
              </w:rPr>
            </w:pPr>
            <w:r w:rsidRPr="00E553CD">
              <w:rPr>
                <w:rFonts w:eastAsia="Calibri"/>
                <w:sz w:val="22"/>
                <w:szCs w:val="22"/>
                <w:lang w:val="en-US"/>
              </w:rPr>
              <w:t>3</w:t>
            </w:r>
          </w:p>
        </w:tc>
        <w:tc>
          <w:tcPr>
            <w:tcW w:w="1671" w:type="dxa"/>
            <w:tcMar>
              <w:left w:w="115" w:type="dxa"/>
              <w:bottom w:w="58" w:type="dxa"/>
              <w:right w:w="115" w:type="dxa"/>
            </w:tcMar>
          </w:tcPr>
          <w:p w:rsidR="00CC449F" w:rsidRPr="00E553CD" w:rsidRDefault="00CC449F" w:rsidP="002B1576">
            <w:pPr>
              <w:jc w:val="both"/>
              <w:rPr>
                <w:rFonts w:eastAsia="Calibri"/>
                <w:szCs w:val="22"/>
                <w:lang w:val="en-US"/>
              </w:rPr>
            </w:pPr>
            <w:r w:rsidRPr="00E553CD">
              <w:rPr>
                <w:rFonts w:eastAsia="Calibri"/>
                <w:sz w:val="22"/>
                <w:szCs w:val="22"/>
                <w:lang w:val="en-US"/>
              </w:rPr>
              <w:t>Two classrooms at Terre Rouge GS</w:t>
            </w:r>
          </w:p>
        </w:tc>
        <w:tc>
          <w:tcPr>
            <w:tcW w:w="1152"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2,711,000</w:t>
            </w:r>
          </w:p>
        </w:tc>
        <w:tc>
          <w:tcPr>
            <w:tcW w:w="1190"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14.09.12</w:t>
            </w:r>
          </w:p>
        </w:tc>
        <w:tc>
          <w:tcPr>
            <w:tcW w:w="1498"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11.12.12</w:t>
            </w:r>
          </w:p>
        </w:tc>
        <w:tc>
          <w:tcPr>
            <w:tcW w:w="1352"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04.02.13</w:t>
            </w:r>
          </w:p>
        </w:tc>
        <w:tc>
          <w:tcPr>
            <w:tcW w:w="1144" w:type="dxa"/>
            <w:tcMar>
              <w:left w:w="115" w:type="dxa"/>
              <w:bottom w:w="58" w:type="dxa"/>
              <w:right w:w="115" w:type="dxa"/>
            </w:tcMar>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2,445,603</w:t>
            </w:r>
          </w:p>
        </w:tc>
      </w:tr>
      <w:tr w:rsidR="00CC449F" w:rsidRPr="00E553CD" w:rsidTr="0090103C">
        <w:trPr>
          <w:trHeight w:val="792"/>
        </w:trPr>
        <w:tc>
          <w:tcPr>
            <w:tcW w:w="975" w:type="dxa"/>
          </w:tcPr>
          <w:p w:rsidR="00CC449F" w:rsidRPr="00E553CD" w:rsidRDefault="00CC449F" w:rsidP="002B1576">
            <w:pPr>
              <w:jc w:val="center"/>
              <w:rPr>
                <w:rFonts w:eastAsia="Calibri"/>
                <w:szCs w:val="22"/>
                <w:lang w:val="en-US"/>
              </w:rPr>
            </w:pPr>
            <w:r w:rsidRPr="00E553CD">
              <w:rPr>
                <w:rFonts w:eastAsia="Calibri"/>
                <w:sz w:val="22"/>
                <w:szCs w:val="22"/>
                <w:lang w:val="en-US"/>
              </w:rPr>
              <w:t>4</w:t>
            </w:r>
          </w:p>
        </w:tc>
        <w:tc>
          <w:tcPr>
            <w:tcW w:w="1671" w:type="dxa"/>
          </w:tcPr>
          <w:p w:rsidR="00CC449F" w:rsidRPr="00E553CD" w:rsidRDefault="00CC449F" w:rsidP="002B1576">
            <w:pPr>
              <w:jc w:val="both"/>
              <w:rPr>
                <w:rFonts w:eastAsia="Calibri"/>
                <w:szCs w:val="22"/>
                <w:lang w:val="en-US"/>
              </w:rPr>
            </w:pPr>
            <w:r w:rsidRPr="00E553CD">
              <w:rPr>
                <w:rFonts w:eastAsia="Calibri"/>
                <w:sz w:val="22"/>
                <w:szCs w:val="22"/>
                <w:lang w:val="en-US"/>
              </w:rPr>
              <w:t>Six additional classrooms at Terre Rouge Secondary School</w:t>
            </w:r>
          </w:p>
        </w:tc>
        <w:tc>
          <w:tcPr>
            <w:tcW w:w="1152" w:type="dxa"/>
            <w:vAlign w:val="bottom"/>
          </w:tcPr>
          <w:p w:rsidR="00CC449F" w:rsidRPr="00E553CD" w:rsidRDefault="00CC449F" w:rsidP="002B1576">
            <w:pPr>
              <w:rPr>
                <w:rFonts w:eastAsia="Calibri"/>
                <w:szCs w:val="22"/>
                <w:lang w:val="en-US"/>
              </w:rPr>
            </w:pPr>
            <w:r w:rsidRPr="00E553CD">
              <w:rPr>
                <w:rFonts w:eastAsia="Calibri"/>
                <w:sz w:val="22"/>
                <w:szCs w:val="22"/>
                <w:lang w:val="en-US"/>
              </w:rPr>
              <w:t>9,287,127</w:t>
            </w:r>
          </w:p>
        </w:tc>
        <w:tc>
          <w:tcPr>
            <w:tcW w:w="1190" w:type="dxa"/>
            <w:vAlign w:val="bottom"/>
          </w:tcPr>
          <w:p w:rsidR="00CC449F" w:rsidRPr="00E553CD" w:rsidRDefault="00CC449F" w:rsidP="002B1576">
            <w:pPr>
              <w:rPr>
                <w:rFonts w:eastAsia="Calibri"/>
                <w:szCs w:val="22"/>
                <w:lang w:val="en-US"/>
              </w:rPr>
            </w:pPr>
            <w:r w:rsidRPr="00E553CD">
              <w:rPr>
                <w:rFonts w:eastAsia="Calibri"/>
                <w:sz w:val="22"/>
                <w:szCs w:val="22"/>
                <w:lang w:val="en-US"/>
              </w:rPr>
              <w:t>18.09.12</w:t>
            </w:r>
          </w:p>
        </w:tc>
        <w:tc>
          <w:tcPr>
            <w:tcW w:w="1498" w:type="dxa"/>
            <w:vAlign w:val="bottom"/>
          </w:tcPr>
          <w:p w:rsidR="00CC449F" w:rsidRPr="00E553CD" w:rsidRDefault="00CC449F" w:rsidP="002B1576">
            <w:pPr>
              <w:rPr>
                <w:rFonts w:eastAsia="Calibri"/>
                <w:szCs w:val="22"/>
                <w:lang w:val="en-US"/>
              </w:rPr>
            </w:pPr>
            <w:r w:rsidRPr="00E553CD">
              <w:rPr>
                <w:rFonts w:eastAsia="Calibri"/>
                <w:sz w:val="22"/>
                <w:szCs w:val="22"/>
                <w:lang w:val="en-US"/>
              </w:rPr>
              <w:t>20.</w:t>
            </w:r>
            <w:r>
              <w:rPr>
                <w:rFonts w:eastAsia="Calibri"/>
                <w:sz w:val="22"/>
                <w:szCs w:val="22"/>
                <w:lang w:val="en-US"/>
              </w:rPr>
              <w:t>0</w:t>
            </w:r>
            <w:r w:rsidRPr="00E553CD">
              <w:rPr>
                <w:rFonts w:eastAsia="Calibri"/>
                <w:sz w:val="22"/>
                <w:szCs w:val="22"/>
                <w:lang w:val="en-US"/>
              </w:rPr>
              <w:t>3.13</w:t>
            </w:r>
          </w:p>
        </w:tc>
        <w:tc>
          <w:tcPr>
            <w:tcW w:w="1352" w:type="dxa"/>
            <w:vAlign w:val="bottom"/>
          </w:tcPr>
          <w:p w:rsidR="00CC449F" w:rsidRPr="00E553CD" w:rsidRDefault="00CC449F" w:rsidP="002B1576">
            <w:pPr>
              <w:jc w:val="center"/>
              <w:rPr>
                <w:rFonts w:eastAsia="Calibri"/>
                <w:szCs w:val="22"/>
                <w:lang w:val="en-US"/>
              </w:rPr>
            </w:pPr>
            <w:r w:rsidRPr="00E553CD">
              <w:rPr>
                <w:rFonts w:eastAsia="Calibri"/>
                <w:sz w:val="22"/>
                <w:szCs w:val="22"/>
                <w:lang w:val="en-US"/>
              </w:rPr>
              <w:t>07.03.13</w:t>
            </w:r>
          </w:p>
        </w:tc>
        <w:tc>
          <w:tcPr>
            <w:tcW w:w="1144" w:type="dxa"/>
            <w:vAlign w:val="bottom"/>
          </w:tcPr>
          <w:p w:rsidR="00CC449F" w:rsidRPr="00E553CD" w:rsidRDefault="00CC449F" w:rsidP="002B1576">
            <w:pPr>
              <w:rPr>
                <w:rFonts w:eastAsia="Calibri"/>
                <w:szCs w:val="22"/>
                <w:lang w:val="en-US"/>
              </w:rPr>
            </w:pPr>
            <w:r w:rsidRPr="00E553CD">
              <w:rPr>
                <w:rFonts w:eastAsia="Calibri"/>
                <w:sz w:val="22"/>
                <w:szCs w:val="22"/>
                <w:lang w:val="en-US"/>
              </w:rPr>
              <w:t>7,847,838</w:t>
            </w:r>
          </w:p>
        </w:tc>
      </w:tr>
    </w:tbl>
    <w:p w:rsidR="00CC449F" w:rsidRPr="00E553CD" w:rsidRDefault="00CC449F" w:rsidP="002B1576">
      <w:pPr>
        <w:pBdr>
          <w:bottom w:val="single" w:sz="4" w:space="1" w:color="auto"/>
        </w:pBdr>
        <w:jc w:val="both"/>
        <w:rPr>
          <w:rFonts w:eastAsia="Calibri"/>
          <w:szCs w:val="24"/>
          <w:lang w:val="en-US"/>
        </w:rPr>
      </w:pPr>
    </w:p>
    <w:p w:rsidR="00CC449F" w:rsidRDefault="00CC449F" w:rsidP="002B1576">
      <w:pPr>
        <w:jc w:val="both"/>
        <w:rPr>
          <w:rFonts w:eastAsia="Calibri"/>
          <w:b/>
          <w:i/>
          <w:szCs w:val="24"/>
          <w:lang w:val="en-US"/>
        </w:rPr>
      </w:pPr>
    </w:p>
    <w:p w:rsidR="00CC449F" w:rsidRDefault="00CC449F" w:rsidP="002B1576">
      <w:pPr>
        <w:jc w:val="both"/>
        <w:rPr>
          <w:rFonts w:eastAsia="Calibri"/>
          <w:b/>
          <w:i/>
          <w:szCs w:val="24"/>
          <w:lang w:val="en-US"/>
        </w:rPr>
      </w:pPr>
    </w:p>
    <w:p w:rsidR="00CC449F" w:rsidRPr="00E553CD" w:rsidRDefault="0090103C" w:rsidP="002B1576">
      <w:pPr>
        <w:jc w:val="both"/>
        <w:rPr>
          <w:rFonts w:eastAsia="Calibri"/>
          <w:b/>
          <w:i/>
          <w:szCs w:val="24"/>
          <w:lang w:val="en-US"/>
        </w:rPr>
      </w:pPr>
      <w:r>
        <w:rPr>
          <w:rFonts w:eastAsia="Calibri"/>
          <w:b/>
          <w:i/>
          <w:szCs w:val="24"/>
          <w:lang w:val="en-US"/>
        </w:rPr>
        <w:t>3.4.1</w:t>
      </w:r>
      <w:r w:rsidR="004A483D">
        <w:rPr>
          <w:rFonts w:eastAsia="Calibri"/>
          <w:b/>
          <w:i/>
          <w:szCs w:val="24"/>
          <w:lang w:val="en-US"/>
        </w:rPr>
        <w:t xml:space="preserve">  </w:t>
      </w:r>
      <w:r w:rsidR="00CC449F" w:rsidRPr="00E553CD">
        <w:rPr>
          <w:rFonts w:eastAsia="Calibri"/>
          <w:b/>
          <w:i/>
          <w:szCs w:val="24"/>
          <w:lang w:val="en-US"/>
        </w:rPr>
        <w:t>Non-compliance with Public Procurement Act</w:t>
      </w:r>
    </w:p>
    <w:p w:rsidR="00CC449F" w:rsidRPr="00E553CD" w:rsidRDefault="00CC449F" w:rsidP="002B1576">
      <w:pPr>
        <w:autoSpaceDE w:val="0"/>
        <w:autoSpaceDN w:val="0"/>
        <w:adjustRightInd w:val="0"/>
        <w:jc w:val="both"/>
        <w:rPr>
          <w:rFonts w:eastAsia="Calibri"/>
          <w:szCs w:val="24"/>
          <w:lang w:val="en-US"/>
        </w:rPr>
      </w:pPr>
    </w:p>
    <w:p w:rsidR="00CC449F" w:rsidRPr="00E553CD" w:rsidRDefault="00CC449F" w:rsidP="002B1576">
      <w:pPr>
        <w:autoSpaceDE w:val="0"/>
        <w:autoSpaceDN w:val="0"/>
        <w:adjustRightInd w:val="0"/>
        <w:jc w:val="both"/>
        <w:rPr>
          <w:rFonts w:eastAsia="Calibri"/>
          <w:szCs w:val="24"/>
          <w:lang w:val="en-US"/>
        </w:rPr>
      </w:pPr>
      <w:r w:rsidRPr="00E553CD">
        <w:rPr>
          <w:rFonts w:eastAsia="Calibri"/>
          <w:szCs w:val="24"/>
          <w:lang w:val="en-US"/>
        </w:rPr>
        <w:t>As a public body, RRA is legally required to comply with provisions of PPA, the accompanying Regulations and related Instructions/Directives/Circulars issued under the Act. However, these were not always complied with.</w:t>
      </w:r>
    </w:p>
    <w:p w:rsidR="00CC449F" w:rsidRDefault="00CC449F" w:rsidP="002B1576">
      <w:pPr>
        <w:autoSpaceDE w:val="0"/>
        <w:autoSpaceDN w:val="0"/>
        <w:adjustRightInd w:val="0"/>
        <w:jc w:val="both"/>
        <w:rPr>
          <w:rFonts w:eastAsia="Calibri"/>
          <w:szCs w:val="24"/>
          <w:lang w:val="en-US"/>
        </w:rPr>
      </w:pPr>
    </w:p>
    <w:p w:rsidR="00CC449F" w:rsidRPr="00E553CD" w:rsidRDefault="00CC449F" w:rsidP="002B1576">
      <w:pPr>
        <w:autoSpaceDE w:val="0"/>
        <w:autoSpaceDN w:val="0"/>
        <w:adjustRightInd w:val="0"/>
        <w:jc w:val="both"/>
        <w:rPr>
          <w:rFonts w:eastAsia="Calibri"/>
          <w:szCs w:val="24"/>
          <w:lang w:val="en-US"/>
        </w:rPr>
      </w:pPr>
    </w:p>
    <w:p w:rsidR="00CC449F" w:rsidRPr="00E553CD" w:rsidRDefault="00CC449F" w:rsidP="002B1576">
      <w:pPr>
        <w:jc w:val="both"/>
        <w:rPr>
          <w:rFonts w:eastAsia="Calibri"/>
          <w:i/>
          <w:szCs w:val="24"/>
          <w:lang w:val="en-US"/>
        </w:rPr>
      </w:pPr>
      <w:r w:rsidRPr="00E553CD">
        <w:rPr>
          <w:rFonts w:eastAsia="Calibri"/>
          <w:i/>
          <w:szCs w:val="24"/>
          <w:lang w:val="en-US"/>
        </w:rPr>
        <w:t>Notification of Award of Procurement Contracts to Unsuccessful Bidders</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b/>
          <w:szCs w:val="24"/>
          <w:lang w:val="en-US"/>
        </w:rPr>
      </w:pPr>
      <w:r w:rsidRPr="00E553CD">
        <w:rPr>
          <w:rFonts w:eastAsia="Calibri"/>
          <w:szCs w:val="24"/>
          <w:lang w:val="en-US"/>
        </w:rPr>
        <w:t>For Projects 1, 3 and 4, contrary to the PPA and Directive of the Procurement Policy Office (PPO), unsuccessful bidders were not notified about the name and address of the successful bidder and the contract amount.</w:t>
      </w:r>
    </w:p>
    <w:p w:rsidR="00CC449F" w:rsidRDefault="00CC449F" w:rsidP="002B1576">
      <w:pPr>
        <w:tabs>
          <w:tab w:val="left" w:pos="6290"/>
        </w:tabs>
        <w:jc w:val="both"/>
        <w:rPr>
          <w:rFonts w:eastAsia="Calibri"/>
          <w:i/>
          <w:szCs w:val="24"/>
          <w:lang w:val="en-US"/>
        </w:rPr>
      </w:pPr>
    </w:p>
    <w:p w:rsidR="00CC449F" w:rsidRDefault="00CC449F" w:rsidP="002B1576">
      <w:pPr>
        <w:tabs>
          <w:tab w:val="left" w:pos="6290"/>
        </w:tabs>
        <w:jc w:val="both"/>
        <w:rPr>
          <w:rFonts w:eastAsia="Calibri"/>
          <w:i/>
          <w:szCs w:val="24"/>
          <w:lang w:val="en-US"/>
        </w:rPr>
      </w:pPr>
    </w:p>
    <w:p w:rsidR="00CC449F" w:rsidRPr="00E553CD" w:rsidRDefault="00CC449F" w:rsidP="002B1576">
      <w:pPr>
        <w:tabs>
          <w:tab w:val="left" w:pos="6290"/>
        </w:tabs>
        <w:jc w:val="both"/>
        <w:rPr>
          <w:rFonts w:eastAsia="Calibri"/>
          <w:i/>
          <w:szCs w:val="24"/>
          <w:lang w:val="en-US"/>
        </w:rPr>
      </w:pPr>
      <w:r w:rsidRPr="00E553CD">
        <w:rPr>
          <w:rFonts w:eastAsia="Calibri"/>
          <w:i/>
          <w:szCs w:val="24"/>
          <w:lang w:val="en-US"/>
        </w:rPr>
        <w:t>Bid Evaluation</w:t>
      </w:r>
    </w:p>
    <w:p w:rsidR="00CC449F" w:rsidRPr="00E553CD" w:rsidRDefault="00CC449F" w:rsidP="002B1576">
      <w:pPr>
        <w:autoSpaceDE w:val="0"/>
        <w:autoSpaceDN w:val="0"/>
        <w:adjustRightInd w:val="0"/>
        <w:jc w:val="both"/>
        <w:rPr>
          <w:rFonts w:eastAsia="Calibri"/>
          <w:szCs w:val="24"/>
          <w:lang w:val="en-US"/>
        </w:rPr>
      </w:pPr>
    </w:p>
    <w:p w:rsidR="00CC449F" w:rsidRPr="00E553CD" w:rsidRDefault="00CC449F" w:rsidP="002B1576">
      <w:pPr>
        <w:autoSpaceDE w:val="0"/>
        <w:autoSpaceDN w:val="0"/>
        <w:adjustRightInd w:val="0"/>
        <w:jc w:val="both"/>
        <w:rPr>
          <w:rFonts w:eastAsia="Calibri"/>
          <w:szCs w:val="24"/>
          <w:lang w:val="en-US"/>
        </w:rPr>
      </w:pPr>
      <w:r w:rsidRPr="00E553CD">
        <w:rPr>
          <w:rFonts w:eastAsia="Calibri"/>
          <w:szCs w:val="24"/>
          <w:lang w:val="en-US"/>
        </w:rPr>
        <w:t>Regarding Project 4, PPO had, on 10 September 2012, recommended a re-bidding exercise due to substantial price difference between the two lowe</w:t>
      </w:r>
      <w:r w:rsidR="00D708DA">
        <w:rPr>
          <w:rFonts w:eastAsia="Calibri"/>
          <w:szCs w:val="24"/>
          <w:lang w:val="en-US"/>
        </w:rPr>
        <w:t>st bidders amounting to some Rs </w:t>
      </w:r>
      <w:r w:rsidRPr="00E553CD">
        <w:rPr>
          <w:rFonts w:eastAsia="Calibri"/>
          <w:szCs w:val="24"/>
          <w:lang w:val="en-US"/>
        </w:rPr>
        <w:t xml:space="preserve">2.66 million. However, in view of the urgency to have the classrooms ready by the </w:t>
      </w:r>
      <w:r>
        <w:rPr>
          <w:rFonts w:eastAsia="Calibri"/>
          <w:szCs w:val="24"/>
          <w:lang w:val="en-US"/>
        </w:rPr>
        <w:t xml:space="preserve">school </w:t>
      </w:r>
      <w:r w:rsidRPr="00E553CD">
        <w:rPr>
          <w:rFonts w:eastAsia="Calibri"/>
          <w:szCs w:val="24"/>
          <w:lang w:val="en-US"/>
        </w:rPr>
        <w:t xml:space="preserve">resumption date in January 2013, RRA approved the second lowest bid, in complete </w:t>
      </w:r>
      <w:r w:rsidRPr="00E553CD">
        <w:rPr>
          <w:rFonts w:eastAsia="Calibri"/>
          <w:szCs w:val="24"/>
          <w:lang w:val="en-US"/>
        </w:rPr>
        <w:lastRenderedPageBreak/>
        <w:t>disregard of the advice of PPO. The project was, however, practically completed on 7 March 2013 according to Notes of Meeting.</w:t>
      </w:r>
    </w:p>
    <w:p w:rsidR="00CC449F" w:rsidRDefault="00CC449F" w:rsidP="002B1576">
      <w:pPr>
        <w:jc w:val="both"/>
        <w:rPr>
          <w:rFonts w:eastAsia="Calibri"/>
          <w:b/>
          <w:szCs w:val="24"/>
          <w:lang w:val="en-US"/>
        </w:rPr>
      </w:pPr>
    </w:p>
    <w:p w:rsidR="00F957A9" w:rsidRDefault="00F957A9" w:rsidP="002B1576">
      <w:pPr>
        <w:jc w:val="both"/>
        <w:rPr>
          <w:rFonts w:eastAsia="Calibri"/>
          <w:b/>
          <w:szCs w:val="24"/>
          <w:lang w:val="en-US"/>
        </w:rPr>
      </w:pPr>
    </w:p>
    <w:p w:rsidR="00CC449F" w:rsidRPr="000237BA" w:rsidRDefault="00CC449F" w:rsidP="002B1576">
      <w:pPr>
        <w:jc w:val="both"/>
        <w:rPr>
          <w:b/>
          <w:i/>
          <w:szCs w:val="24"/>
        </w:rPr>
      </w:pPr>
      <w:r w:rsidRPr="000237BA">
        <w:rPr>
          <w:b/>
          <w:i/>
          <w:szCs w:val="24"/>
        </w:rPr>
        <w:t>RRA’s Reply</w:t>
      </w:r>
    </w:p>
    <w:p w:rsidR="00CC449F" w:rsidRDefault="00CC449F" w:rsidP="002B1576">
      <w:pPr>
        <w:jc w:val="both"/>
        <w:rPr>
          <w:szCs w:val="24"/>
        </w:rPr>
      </w:pPr>
    </w:p>
    <w:p w:rsidR="00CC449F" w:rsidRPr="000237BA" w:rsidRDefault="00CC449F" w:rsidP="002B1576">
      <w:pPr>
        <w:jc w:val="both"/>
        <w:rPr>
          <w:szCs w:val="24"/>
        </w:rPr>
      </w:pPr>
      <w:r w:rsidRPr="000237BA">
        <w:rPr>
          <w:szCs w:val="24"/>
        </w:rPr>
        <w:t xml:space="preserve">Regarding project 4, in view of the urgency to have the construction of the </w:t>
      </w:r>
      <w:r>
        <w:rPr>
          <w:szCs w:val="24"/>
        </w:rPr>
        <w:t>six</w:t>
      </w:r>
      <w:r w:rsidRPr="000237BA">
        <w:rPr>
          <w:szCs w:val="24"/>
        </w:rPr>
        <w:t xml:space="preserve"> classrooms ready to cater for admission in January 2013, the RRA approved the second lowest bid. Three out of the six classrooms were handed over in 15 February 2013.</w:t>
      </w:r>
    </w:p>
    <w:p w:rsidR="00CC449F" w:rsidRDefault="00CC449F" w:rsidP="002B1576">
      <w:pPr>
        <w:jc w:val="both"/>
        <w:rPr>
          <w:szCs w:val="24"/>
        </w:rPr>
      </w:pPr>
    </w:p>
    <w:p w:rsidR="00CC449F" w:rsidRPr="00E553CD" w:rsidRDefault="00CC449F" w:rsidP="002B1576">
      <w:pPr>
        <w:jc w:val="both"/>
        <w:rPr>
          <w:rFonts w:eastAsia="Calibri"/>
          <w:b/>
          <w:i/>
          <w:szCs w:val="24"/>
          <w:lang w:val="en-US"/>
        </w:rPr>
      </w:pPr>
    </w:p>
    <w:p w:rsidR="00CC449F" w:rsidRPr="00E553CD" w:rsidRDefault="0090103C" w:rsidP="002B1576">
      <w:pPr>
        <w:jc w:val="both"/>
        <w:rPr>
          <w:rFonts w:eastAsia="Calibri"/>
          <w:b/>
          <w:i/>
          <w:szCs w:val="24"/>
          <w:lang w:val="en-US"/>
        </w:rPr>
      </w:pPr>
      <w:r>
        <w:rPr>
          <w:rFonts w:eastAsia="Calibri"/>
          <w:b/>
          <w:i/>
          <w:szCs w:val="24"/>
          <w:lang w:val="en-US"/>
        </w:rPr>
        <w:t>3.4.2</w:t>
      </w:r>
      <w:r w:rsidR="00E91813">
        <w:rPr>
          <w:rFonts w:eastAsia="Calibri"/>
          <w:b/>
          <w:i/>
          <w:szCs w:val="24"/>
          <w:lang w:val="en-US"/>
        </w:rPr>
        <w:t xml:space="preserve">  </w:t>
      </w:r>
      <w:r w:rsidR="00CC449F" w:rsidRPr="00E553CD">
        <w:rPr>
          <w:rFonts w:eastAsia="Calibri"/>
          <w:b/>
          <w:i/>
          <w:szCs w:val="24"/>
          <w:lang w:val="en-US"/>
        </w:rPr>
        <w:t>Non-compliance with Terms and Conditions of Contract</w:t>
      </w:r>
    </w:p>
    <w:p w:rsidR="00CC449F" w:rsidRDefault="00CC449F" w:rsidP="002B1576">
      <w:pPr>
        <w:autoSpaceDE w:val="0"/>
        <w:autoSpaceDN w:val="0"/>
        <w:adjustRightInd w:val="0"/>
        <w:jc w:val="both"/>
        <w:rPr>
          <w:rFonts w:eastAsia="Calibri"/>
          <w:i/>
          <w:iCs/>
          <w:szCs w:val="24"/>
          <w:lang w:val="en-US"/>
        </w:rPr>
      </w:pPr>
    </w:p>
    <w:p w:rsidR="00CC449F" w:rsidRPr="00E553CD" w:rsidRDefault="00CC449F" w:rsidP="002B1576">
      <w:pPr>
        <w:autoSpaceDE w:val="0"/>
        <w:autoSpaceDN w:val="0"/>
        <w:adjustRightInd w:val="0"/>
        <w:jc w:val="both"/>
        <w:rPr>
          <w:rFonts w:eastAsia="Calibri"/>
          <w:i/>
          <w:iCs/>
          <w:szCs w:val="24"/>
          <w:lang w:val="en-US"/>
        </w:rPr>
      </w:pPr>
    </w:p>
    <w:p w:rsidR="00CC449F" w:rsidRPr="00E553CD" w:rsidRDefault="00CC449F" w:rsidP="002B1576">
      <w:pPr>
        <w:autoSpaceDE w:val="0"/>
        <w:autoSpaceDN w:val="0"/>
        <w:adjustRightInd w:val="0"/>
        <w:jc w:val="both"/>
        <w:rPr>
          <w:rFonts w:eastAsia="Calibri"/>
          <w:i/>
          <w:iCs/>
          <w:szCs w:val="24"/>
          <w:lang w:val="en-US"/>
        </w:rPr>
      </w:pPr>
      <w:r w:rsidRPr="00E553CD">
        <w:rPr>
          <w:rFonts w:eastAsia="Calibri"/>
          <w:i/>
          <w:iCs/>
          <w:szCs w:val="24"/>
          <w:lang w:val="en-US"/>
        </w:rPr>
        <w:t>No Formal Handing Over/Liquidated Damages</w:t>
      </w:r>
    </w:p>
    <w:p w:rsidR="00CC449F" w:rsidRPr="00E553CD" w:rsidRDefault="00CC449F" w:rsidP="002B1576">
      <w:pPr>
        <w:autoSpaceDE w:val="0"/>
        <w:autoSpaceDN w:val="0"/>
        <w:adjustRightInd w:val="0"/>
        <w:jc w:val="both"/>
        <w:rPr>
          <w:rFonts w:eastAsia="Calibri"/>
          <w:szCs w:val="24"/>
          <w:lang w:val="en-US"/>
        </w:rPr>
      </w:pPr>
    </w:p>
    <w:p w:rsidR="00CC449F" w:rsidRPr="00E553CD" w:rsidRDefault="00CC449F" w:rsidP="002B1576">
      <w:pPr>
        <w:autoSpaceDE w:val="0"/>
        <w:autoSpaceDN w:val="0"/>
        <w:adjustRightInd w:val="0"/>
        <w:jc w:val="both"/>
        <w:rPr>
          <w:rFonts w:eastAsia="Calibri"/>
          <w:b/>
          <w:szCs w:val="24"/>
          <w:lang w:val="en-US"/>
        </w:rPr>
      </w:pPr>
      <w:r w:rsidRPr="00E553CD">
        <w:rPr>
          <w:rFonts w:eastAsia="Calibri"/>
          <w:szCs w:val="24"/>
          <w:lang w:val="en-US"/>
        </w:rPr>
        <w:t>Handing over of Projects 1 to 4 to the Commission for Education were not supported by formal Handing Over</w:t>
      </w:r>
      <w:r>
        <w:rPr>
          <w:rFonts w:eastAsia="Calibri"/>
          <w:szCs w:val="24"/>
          <w:lang w:val="en-US"/>
        </w:rPr>
        <w:t xml:space="preserve"> </w:t>
      </w:r>
      <w:r w:rsidRPr="00E553CD">
        <w:rPr>
          <w:rFonts w:eastAsia="Calibri"/>
          <w:szCs w:val="24"/>
          <w:lang w:val="en-US"/>
        </w:rPr>
        <w:t xml:space="preserve">Certificates as provided in General Conditions of Contract (GCC). Hence, the </w:t>
      </w:r>
      <w:r>
        <w:rPr>
          <w:rFonts w:eastAsia="Calibri"/>
          <w:szCs w:val="24"/>
          <w:lang w:val="en-US"/>
        </w:rPr>
        <w:t>correctness</w:t>
      </w:r>
      <w:r w:rsidRPr="00E553CD">
        <w:rPr>
          <w:rFonts w:eastAsia="Calibri"/>
          <w:szCs w:val="24"/>
          <w:lang w:val="en-US"/>
        </w:rPr>
        <w:t xml:space="preserve"> of liquidated damages amounting to Rs 75,000 charged for late completion of Project 1 could not be verified. Regarding Project 3, no liquidated damages have been charged for late completion of works.</w:t>
      </w:r>
    </w:p>
    <w:p w:rsidR="00CC449F" w:rsidRDefault="00CC449F" w:rsidP="002B1576">
      <w:pPr>
        <w:contextualSpacing/>
        <w:jc w:val="both"/>
        <w:rPr>
          <w:rFonts w:eastAsia="Calibri"/>
          <w:szCs w:val="24"/>
          <w:lang w:val="en-US"/>
        </w:rPr>
      </w:pPr>
    </w:p>
    <w:p w:rsidR="00CC449F" w:rsidRPr="00E553CD" w:rsidRDefault="00CC449F" w:rsidP="002B1576">
      <w:pPr>
        <w:contextualSpacing/>
        <w:jc w:val="both"/>
        <w:rPr>
          <w:rFonts w:eastAsia="Calibri"/>
          <w:szCs w:val="24"/>
          <w:lang w:val="en-US"/>
        </w:rPr>
      </w:pPr>
    </w:p>
    <w:p w:rsidR="00CC449F" w:rsidRPr="00E553CD" w:rsidRDefault="00CC449F" w:rsidP="002B1576">
      <w:pPr>
        <w:contextualSpacing/>
        <w:jc w:val="both"/>
        <w:rPr>
          <w:rFonts w:eastAsia="Calibri"/>
          <w:i/>
          <w:szCs w:val="24"/>
          <w:lang w:val="en-US"/>
        </w:rPr>
      </w:pPr>
      <w:r w:rsidRPr="00E553CD">
        <w:rPr>
          <w:rFonts w:eastAsia="Calibri"/>
          <w:i/>
          <w:szCs w:val="24"/>
          <w:lang w:val="en-US"/>
        </w:rPr>
        <w:t>Performance Bond and Insurance Policy</w:t>
      </w:r>
    </w:p>
    <w:p w:rsidR="00CC449F" w:rsidRPr="00E553CD" w:rsidRDefault="00CC449F" w:rsidP="002B1576">
      <w:pPr>
        <w:autoSpaceDE w:val="0"/>
        <w:autoSpaceDN w:val="0"/>
        <w:adjustRightInd w:val="0"/>
        <w:jc w:val="both"/>
        <w:rPr>
          <w:rFonts w:eastAsia="Calibri"/>
          <w:szCs w:val="24"/>
          <w:lang w:val="en-US"/>
        </w:rPr>
      </w:pPr>
    </w:p>
    <w:p w:rsidR="00CC449F" w:rsidRPr="00E553CD" w:rsidRDefault="00CC449F" w:rsidP="002B1576">
      <w:pPr>
        <w:autoSpaceDE w:val="0"/>
        <w:autoSpaceDN w:val="0"/>
        <w:adjustRightInd w:val="0"/>
        <w:jc w:val="both"/>
        <w:rPr>
          <w:rFonts w:eastAsia="Calibri"/>
          <w:szCs w:val="24"/>
          <w:lang w:val="en-US"/>
        </w:rPr>
      </w:pPr>
      <w:r w:rsidRPr="00E553CD">
        <w:rPr>
          <w:rFonts w:eastAsia="Calibri"/>
          <w:szCs w:val="24"/>
          <w:lang w:val="en-US"/>
        </w:rPr>
        <w:t>For Projects 1 and 2, no steps have been taken to renew the Performance Security to cover the Defects Liability Period. For Projects 2 and 4, the insurance policies did not cover the Defects Liability Period.</w:t>
      </w:r>
    </w:p>
    <w:p w:rsidR="00CC449F" w:rsidRDefault="00CC449F" w:rsidP="002B1576">
      <w:pPr>
        <w:autoSpaceDE w:val="0"/>
        <w:autoSpaceDN w:val="0"/>
        <w:adjustRightInd w:val="0"/>
        <w:jc w:val="both"/>
        <w:rPr>
          <w:rFonts w:eastAsia="Calibri"/>
          <w:szCs w:val="24"/>
          <w:lang w:val="en-US"/>
        </w:rPr>
      </w:pPr>
    </w:p>
    <w:p w:rsidR="00CC449F" w:rsidRPr="00E553CD" w:rsidRDefault="00CC449F" w:rsidP="002B1576">
      <w:pPr>
        <w:autoSpaceDE w:val="0"/>
        <w:autoSpaceDN w:val="0"/>
        <w:adjustRightInd w:val="0"/>
        <w:jc w:val="both"/>
        <w:rPr>
          <w:rFonts w:eastAsia="Calibri"/>
          <w:szCs w:val="24"/>
          <w:lang w:val="en-US"/>
        </w:rPr>
      </w:pPr>
    </w:p>
    <w:p w:rsidR="00CC449F" w:rsidRPr="00E553CD" w:rsidRDefault="00CC449F" w:rsidP="002B1576">
      <w:pPr>
        <w:contextualSpacing/>
        <w:jc w:val="both"/>
        <w:rPr>
          <w:rFonts w:eastAsia="Calibri"/>
          <w:i/>
          <w:szCs w:val="24"/>
          <w:lang w:val="en-US"/>
        </w:rPr>
      </w:pPr>
      <w:r w:rsidRPr="00E553CD">
        <w:rPr>
          <w:rFonts w:eastAsia="Calibri"/>
          <w:i/>
          <w:szCs w:val="24"/>
          <w:lang w:val="en-US"/>
        </w:rPr>
        <w:t>“As Built Drawing” and Operating and Maintenance Manual</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r w:rsidRPr="00E553CD">
        <w:rPr>
          <w:rFonts w:eastAsia="Calibri"/>
          <w:szCs w:val="24"/>
          <w:lang w:val="en-US"/>
        </w:rPr>
        <w:t>For Project 4, “As Built Drawing” and Operating and Maintenance Manual were not provided by the Contractor at time of handing over. The amount of Rs 100,000 was not withheld from payments for failure to submit the above, as required by GCC.</w:t>
      </w:r>
    </w:p>
    <w:p w:rsidR="00CC449F"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r w:rsidRPr="00E553CD">
        <w:rPr>
          <w:rFonts w:eastAsia="Calibri"/>
          <w:i/>
          <w:szCs w:val="24"/>
          <w:lang w:val="en-US"/>
        </w:rPr>
        <w:t xml:space="preserve">Updated </w:t>
      </w:r>
      <w:proofErr w:type="spellStart"/>
      <w:r w:rsidRPr="00E553CD">
        <w:rPr>
          <w:rFonts w:eastAsia="Calibri"/>
          <w:i/>
          <w:szCs w:val="24"/>
          <w:lang w:val="en-US"/>
        </w:rPr>
        <w:t>Programme</w:t>
      </w:r>
      <w:proofErr w:type="spellEnd"/>
      <w:r w:rsidRPr="00E553CD">
        <w:rPr>
          <w:rFonts w:eastAsia="Calibri"/>
          <w:i/>
          <w:szCs w:val="24"/>
          <w:lang w:val="en-US"/>
        </w:rPr>
        <w:t xml:space="preserve"> of Works</w:t>
      </w:r>
    </w:p>
    <w:p w:rsidR="00CC449F" w:rsidRPr="00E553CD" w:rsidRDefault="00CC449F" w:rsidP="002B1576">
      <w:pPr>
        <w:tabs>
          <w:tab w:val="left" w:pos="720"/>
        </w:tabs>
        <w:jc w:val="both"/>
        <w:rPr>
          <w:rFonts w:eastAsia="Calibri"/>
          <w:szCs w:val="24"/>
          <w:lang w:val="en-US"/>
        </w:rPr>
      </w:pPr>
    </w:p>
    <w:p w:rsidR="00CC449F" w:rsidRPr="00E553CD" w:rsidRDefault="00CC449F" w:rsidP="002B1576">
      <w:pPr>
        <w:tabs>
          <w:tab w:val="left" w:pos="720"/>
        </w:tabs>
        <w:jc w:val="both"/>
        <w:rPr>
          <w:rFonts w:eastAsia="Calibri"/>
          <w:szCs w:val="24"/>
          <w:lang w:val="en-US"/>
        </w:rPr>
      </w:pPr>
      <w:r w:rsidRPr="00E553CD">
        <w:rPr>
          <w:rFonts w:eastAsia="Calibri"/>
          <w:szCs w:val="24"/>
          <w:lang w:val="en-US"/>
        </w:rPr>
        <w:t xml:space="preserve">For Project 3, an amount of two per cent of each Interim Certificate as required by the GCC, was not withheld from payments made to the Contractor for failure to submit an updated </w:t>
      </w:r>
      <w:proofErr w:type="spellStart"/>
      <w:r w:rsidRPr="00E553CD">
        <w:rPr>
          <w:rFonts w:eastAsia="Calibri"/>
          <w:szCs w:val="24"/>
          <w:lang w:val="en-US"/>
        </w:rPr>
        <w:t>programme</w:t>
      </w:r>
      <w:proofErr w:type="spellEnd"/>
      <w:r w:rsidRPr="00E553CD">
        <w:rPr>
          <w:rFonts w:eastAsia="Calibri"/>
          <w:szCs w:val="24"/>
          <w:lang w:val="en-US"/>
        </w:rPr>
        <w:t xml:space="preserve"> of works.</w:t>
      </w:r>
    </w:p>
    <w:p w:rsidR="00CC449F" w:rsidRDefault="00CC449F" w:rsidP="002B1576">
      <w:pPr>
        <w:jc w:val="both"/>
        <w:rPr>
          <w:rFonts w:eastAsia="Calibri"/>
          <w:i/>
          <w:szCs w:val="24"/>
          <w:lang w:val="en-US"/>
        </w:rPr>
      </w:pPr>
    </w:p>
    <w:p w:rsidR="00CC449F" w:rsidRPr="00E553CD" w:rsidRDefault="00CC449F" w:rsidP="002B1576">
      <w:pPr>
        <w:jc w:val="both"/>
        <w:rPr>
          <w:rFonts w:eastAsia="Calibri"/>
          <w:i/>
          <w:szCs w:val="24"/>
          <w:lang w:val="en-US"/>
        </w:rPr>
      </w:pPr>
    </w:p>
    <w:p w:rsidR="00CC449F" w:rsidRPr="00E553CD" w:rsidRDefault="00CC449F" w:rsidP="002B1576">
      <w:pPr>
        <w:jc w:val="both"/>
        <w:rPr>
          <w:rFonts w:eastAsia="Calibri"/>
          <w:i/>
          <w:iCs/>
          <w:szCs w:val="24"/>
          <w:lang w:val="en-US"/>
        </w:rPr>
      </w:pPr>
      <w:r w:rsidRPr="00E553CD">
        <w:rPr>
          <w:rFonts w:eastAsia="Calibri"/>
          <w:i/>
          <w:szCs w:val="24"/>
          <w:lang w:val="en-US"/>
        </w:rPr>
        <w:t>Submission of Guarantee Certificate</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i/>
          <w:iCs/>
          <w:szCs w:val="24"/>
          <w:lang w:val="en-US"/>
        </w:rPr>
      </w:pPr>
      <w:r w:rsidRPr="00E553CD">
        <w:rPr>
          <w:rFonts w:eastAsia="Calibri"/>
          <w:szCs w:val="24"/>
          <w:lang w:val="en-US"/>
        </w:rPr>
        <w:t>For Project 1, an amount of Rs 350,000 was spent for covering of roof. However, a 10-year Warranty Certificate to the effect that the roof structure could withstand the worst cyclonic conditions, as required in bidding documents, was not given by the Contractor.</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i/>
          <w:iCs/>
          <w:szCs w:val="24"/>
          <w:lang w:val="en-US"/>
        </w:rPr>
      </w:pPr>
      <w:r w:rsidRPr="00E553CD">
        <w:rPr>
          <w:rFonts w:eastAsia="Calibri"/>
          <w:szCs w:val="24"/>
          <w:lang w:val="en-US"/>
        </w:rPr>
        <w:lastRenderedPageBreak/>
        <w:t xml:space="preserve">For Project 2, the Contractor did not submit an irrecoverable 10-year Guarantee Certificate with terms and conditions as approved by the Project Manager for roof waterproofing works and for </w:t>
      </w:r>
      <w:proofErr w:type="spellStart"/>
      <w:r w:rsidRPr="00E553CD">
        <w:rPr>
          <w:rFonts w:eastAsia="Calibri"/>
          <w:szCs w:val="24"/>
          <w:lang w:val="en-US"/>
        </w:rPr>
        <w:t>aluminium</w:t>
      </w:r>
      <w:proofErr w:type="spellEnd"/>
      <w:r w:rsidRPr="00E553CD">
        <w:rPr>
          <w:rFonts w:eastAsia="Calibri"/>
          <w:szCs w:val="24"/>
          <w:lang w:val="en-US"/>
        </w:rPr>
        <w:t xml:space="preserve"> windows, costing Rs 99,964 and Rs 377,600 respectively.</w:t>
      </w:r>
    </w:p>
    <w:p w:rsidR="00CC449F" w:rsidRDefault="00CC449F" w:rsidP="002B1576">
      <w:pPr>
        <w:tabs>
          <w:tab w:val="left" w:pos="720"/>
        </w:tabs>
        <w:jc w:val="both"/>
        <w:rPr>
          <w:rFonts w:eastAsia="Calibri"/>
          <w:szCs w:val="24"/>
          <w:lang w:val="en-US"/>
        </w:rPr>
      </w:pPr>
    </w:p>
    <w:p w:rsidR="008024CD" w:rsidRPr="00E553CD" w:rsidRDefault="008024CD" w:rsidP="002B1576">
      <w:pPr>
        <w:tabs>
          <w:tab w:val="left" w:pos="720"/>
        </w:tabs>
        <w:jc w:val="both"/>
        <w:rPr>
          <w:rFonts w:eastAsia="Calibri"/>
          <w:szCs w:val="24"/>
          <w:lang w:val="en-US"/>
        </w:rPr>
      </w:pPr>
    </w:p>
    <w:p w:rsidR="00CC449F" w:rsidRPr="000237BA" w:rsidRDefault="00CC449F" w:rsidP="002B1576">
      <w:pPr>
        <w:jc w:val="both"/>
        <w:rPr>
          <w:b/>
          <w:i/>
          <w:szCs w:val="24"/>
        </w:rPr>
      </w:pPr>
      <w:r w:rsidRPr="000237BA">
        <w:rPr>
          <w:b/>
          <w:i/>
          <w:szCs w:val="24"/>
        </w:rPr>
        <w:t>RRA’s Reply</w:t>
      </w:r>
    </w:p>
    <w:p w:rsidR="00CC449F" w:rsidRDefault="00CC449F" w:rsidP="002B1576">
      <w:pPr>
        <w:jc w:val="both"/>
        <w:rPr>
          <w:szCs w:val="24"/>
        </w:rPr>
      </w:pPr>
    </w:p>
    <w:p w:rsidR="00CC449F" w:rsidRDefault="00CC449F" w:rsidP="002B1576">
      <w:pPr>
        <w:jc w:val="both"/>
        <w:rPr>
          <w:szCs w:val="24"/>
        </w:rPr>
      </w:pPr>
      <w:r w:rsidRPr="000237BA">
        <w:rPr>
          <w:szCs w:val="24"/>
        </w:rPr>
        <w:t xml:space="preserve">For </w:t>
      </w:r>
      <w:r>
        <w:rPr>
          <w:szCs w:val="24"/>
        </w:rPr>
        <w:t>P</w:t>
      </w:r>
      <w:r w:rsidRPr="000237BA">
        <w:rPr>
          <w:szCs w:val="24"/>
        </w:rPr>
        <w:t xml:space="preserve">roject 1, the </w:t>
      </w:r>
      <w:r>
        <w:rPr>
          <w:szCs w:val="24"/>
        </w:rPr>
        <w:t>C</w:t>
      </w:r>
      <w:r w:rsidRPr="000237BA">
        <w:rPr>
          <w:szCs w:val="24"/>
        </w:rPr>
        <w:t xml:space="preserve">ontractor will be requested to extend performance security and for </w:t>
      </w:r>
      <w:r>
        <w:rPr>
          <w:szCs w:val="24"/>
        </w:rPr>
        <w:t>P</w:t>
      </w:r>
      <w:r w:rsidRPr="000237BA">
        <w:rPr>
          <w:szCs w:val="24"/>
        </w:rPr>
        <w:t xml:space="preserve">roject 2, the </w:t>
      </w:r>
      <w:r>
        <w:rPr>
          <w:szCs w:val="24"/>
        </w:rPr>
        <w:t>C</w:t>
      </w:r>
      <w:r w:rsidRPr="000237BA">
        <w:rPr>
          <w:szCs w:val="24"/>
        </w:rPr>
        <w:t>ontractor will be required to extend insurance policy and performance bond to cover the defect liability period.</w:t>
      </w:r>
      <w:r>
        <w:rPr>
          <w:szCs w:val="24"/>
        </w:rPr>
        <w:t xml:space="preserve"> </w:t>
      </w:r>
      <w:r w:rsidRPr="000237BA">
        <w:rPr>
          <w:szCs w:val="24"/>
        </w:rPr>
        <w:t xml:space="preserve">For </w:t>
      </w:r>
      <w:r>
        <w:rPr>
          <w:szCs w:val="24"/>
        </w:rPr>
        <w:t>both Projects</w:t>
      </w:r>
      <w:r w:rsidRPr="000237BA">
        <w:rPr>
          <w:szCs w:val="24"/>
        </w:rPr>
        <w:t xml:space="preserve">, </w:t>
      </w:r>
      <w:r>
        <w:rPr>
          <w:szCs w:val="24"/>
        </w:rPr>
        <w:t>C</w:t>
      </w:r>
      <w:r w:rsidRPr="000237BA">
        <w:rPr>
          <w:szCs w:val="24"/>
        </w:rPr>
        <w:t>ontractors will be requested to submit compliance certificate.</w:t>
      </w:r>
    </w:p>
    <w:p w:rsidR="00CC449F" w:rsidRDefault="00CC449F" w:rsidP="002B1576">
      <w:pPr>
        <w:spacing w:after="200"/>
        <w:jc w:val="both"/>
        <w:rPr>
          <w:rFonts w:eastAsia="Calibri"/>
          <w:szCs w:val="24"/>
          <w:lang w:val="en-US"/>
        </w:rPr>
      </w:pPr>
    </w:p>
    <w:p w:rsidR="00CC449F" w:rsidRPr="00E553CD" w:rsidRDefault="0090103C" w:rsidP="002B1576">
      <w:pPr>
        <w:spacing w:after="200"/>
        <w:jc w:val="both"/>
        <w:rPr>
          <w:rFonts w:eastAsia="Calibri"/>
          <w:szCs w:val="24"/>
          <w:lang w:val="en-US"/>
        </w:rPr>
      </w:pPr>
      <w:r>
        <w:rPr>
          <w:rFonts w:eastAsia="Calibri"/>
          <w:b/>
          <w:szCs w:val="24"/>
          <w:lang w:val="en-US"/>
        </w:rPr>
        <w:t xml:space="preserve">3.5 </w:t>
      </w:r>
      <w:r w:rsidR="004A483D">
        <w:rPr>
          <w:rFonts w:eastAsia="Calibri"/>
          <w:b/>
          <w:szCs w:val="24"/>
          <w:lang w:val="en-US"/>
        </w:rPr>
        <w:t xml:space="preserve"> </w:t>
      </w:r>
      <w:r w:rsidR="00CC449F" w:rsidRPr="00E553CD">
        <w:rPr>
          <w:rFonts w:eastAsia="Calibri"/>
          <w:b/>
          <w:szCs w:val="24"/>
          <w:lang w:val="en-US"/>
        </w:rPr>
        <w:t xml:space="preserve">Consultancy Fees </w:t>
      </w:r>
    </w:p>
    <w:p w:rsidR="00CC449F" w:rsidRPr="00E553CD" w:rsidRDefault="00CC449F" w:rsidP="002B1576">
      <w:pPr>
        <w:autoSpaceDE w:val="0"/>
        <w:autoSpaceDN w:val="0"/>
        <w:adjustRightInd w:val="0"/>
        <w:jc w:val="both"/>
        <w:rPr>
          <w:rFonts w:eastAsia="Calibri"/>
          <w:color w:val="000000"/>
          <w:szCs w:val="24"/>
          <w:lang w:val="en-US"/>
        </w:rPr>
      </w:pPr>
      <w:r w:rsidRPr="00E553CD">
        <w:rPr>
          <w:rFonts w:eastAsia="Calibri"/>
          <w:szCs w:val="24"/>
          <w:lang w:val="en-US"/>
        </w:rPr>
        <w:t>At paragraph 3.9 of the Audit Report for the year ended 31 December 2012, I reported that fees of Rs 990,000 were overpaid to the Consultant responsible for the construction of the Terre Rouge Secondary School. Payments were wrongly calculated on the original project value of Rs 100 million instead of</w:t>
      </w:r>
      <w:r w:rsidRPr="00E553CD">
        <w:rPr>
          <w:rFonts w:eastAsia="Calibri"/>
          <w:color w:val="000000"/>
          <w:szCs w:val="24"/>
          <w:lang w:val="en-US"/>
        </w:rPr>
        <w:t xml:space="preserve"> the actual contract value of Rs 42.6 million. During 2013, an additional amount of Rs 862,500 was paid on 17 December 2013, bringing total payments to Rs 4,312,500 as of 31 December 2013. </w:t>
      </w:r>
    </w:p>
    <w:p w:rsidR="00CC449F" w:rsidRPr="00E553CD" w:rsidRDefault="00CC449F" w:rsidP="002B1576">
      <w:pPr>
        <w:autoSpaceDE w:val="0"/>
        <w:autoSpaceDN w:val="0"/>
        <w:adjustRightInd w:val="0"/>
        <w:jc w:val="both"/>
        <w:rPr>
          <w:rFonts w:eastAsia="Calibri"/>
          <w:color w:val="000000"/>
          <w:szCs w:val="24"/>
          <w:lang w:val="en-US"/>
        </w:rPr>
      </w:pPr>
    </w:p>
    <w:p w:rsidR="00CC449F" w:rsidRPr="00E553CD" w:rsidRDefault="00CC449F" w:rsidP="002B1576">
      <w:pPr>
        <w:jc w:val="both"/>
        <w:rPr>
          <w:rFonts w:eastAsia="Calibri"/>
          <w:i/>
          <w:szCs w:val="24"/>
          <w:lang w:val="en-US"/>
        </w:rPr>
      </w:pPr>
      <w:r w:rsidRPr="00E553CD">
        <w:rPr>
          <w:rFonts w:eastAsia="Calibri"/>
          <w:szCs w:val="24"/>
          <w:lang w:val="en-US"/>
        </w:rPr>
        <w:t>Despite the fact that Rs 990,000 were overpaid, only an amount of Rs 618,119 has been recouped as per Payment Certificate dated 22 April 2014.</w:t>
      </w:r>
    </w:p>
    <w:p w:rsidR="00CC449F"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p>
    <w:p w:rsidR="00CC449F" w:rsidRPr="007563EF" w:rsidRDefault="00CC449F" w:rsidP="002B1576">
      <w:pPr>
        <w:jc w:val="both"/>
        <w:rPr>
          <w:rFonts w:eastAsia="Calibri"/>
          <w:b/>
          <w:i/>
          <w:szCs w:val="24"/>
          <w:lang w:val="en-US"/>
        </w:rPr>
      </w:pPr>
      <w:r w:rsidRPr="007563EF">
        <w:rPr>
          <w:rFonts w:eastAsia="Calibri"/>
          <w:b/>
          <w:i/>
          <w:szCs w:val="24"/>
          <w:lang w:val="en-US"/>
        </w:rPr>
        <w:t>Recommendation</w:t>
      </w:r>
    </w:p>
    <w:p w:rsidR="00CC449F" w:rsidRPr="00E553CD" w:rsidRDefault="00CC449F" w:rsidP="002B1576">
      <w:pPr>
        <w:jc w:val="both"/>
        <w:rPr>
          <w:rFonts w:eastAsia="Calibri"/>
          <w:i/>
          <w:szCs w:val="24"/>
          <w:lang w:val="en-US"/>
        </w:rPr>
      </w:pPr>
    </w:p>
    <w:p w:rsidR="00CC449F" w:rsidRPr="00E553CD" w:rsidRDefault="00CC449F" w:rsidP="002B1576">
      <w:pPr>
        <w:jc w:val="both"/>
        <w:rPr>
          <w:rFonts w:eastAsia="Calibri"/>
          <w:szCs w:val="24"/>
          <w:lang w:val="en-US"/>
        </w:rPr>
      </w:pPr>
      <w:r w:rsidRPr="00E553CD">
        <w:rPr>
          <w:rFonts w:eastAsia="Calibri"/>
          <w:szCs w:val="24"/>
          <w:lang w:val="en-US"/>
        </w:rPr>
        <w:t>Overpayment should be recouped as soon as possible. The Commission for Public Infrastructure should exercise due care and diligence before approving release of payments.</w:t>
      </w:r>
    </w:p>
    <w:p w:rsidR="00CC449F" w:rsidRPr="00E553CD" w:rsidRDefault="00CC449F" w:rsidP="002B1576">
      <w:pPr>
        <w:ind w:left="426" w:hanging="426"/>
        <w:jc w:val="both"/>
        <w:rPr>
          <w:rFonts w:eastAsia="Calibri"/>
          <w:szCs w:val="24"/>
          <w:lang w:val="en-US"/>
        </w:rPr>
      </w:pPr>
    </w:p>
    <w:p w:rsidR="00CC449F" w:rsidRDefault="00CC449F" w:rsidP="002B1576">
      <w:pPr>
        <w:jc w:val="both"/>
        <w:rPr>
          <w:b/>
          <w:i/>
          <w:szCs w:val="24"/>
        </w:rPr>
      </w:pPr>
    </w:p>
    <w:p w:rsidR="00CC449F" w:rsidRPr="000237BA" w:rsidRDefault="00CC449F" w:rsidP="002B1576">
      <w:pPr>
        <w:jc w:val="both"/>
        <w:rPr>
          <w:b/>
          <w:i/>
          <w:szCs w:val="24"/>
        </w:rPr>
      </w:pPr>
      <w:r w:rsidRPr="000237BA">
        <w:rPr>
          <w:b/>
          <w:i/>
          <w:szCs w:val="24"/>
        </w:rPr>
        <w:t>RRA’s Reply</w:t>
      </w:r>
    </w:p>
    <w:p w:rsidR="00CC449F" w:rsidRDefault="00CC449F" w:rsidP="002B1576">
      <w:pPr>
        <w:jc w:val="both"/>
        <w:rPr>
          <w:szCs w:val="24"/>
        </w:rPr>
      </w:pPr>
    </w:p>
    <w:p w:rsidR="00CC449F" w:rsidRPr="000237BA" w:rsidRDefault="00CC449F" w:rsidP="002B1576">
      <w:pPr>
        <w:jc w:val="both"/>
        <w:rPr>
          <w:szCs w:val="24"/>
        </w:rPr>
      </w:pPr>
      <w:r w:rsidRPr="000237BA">
        <w:rPr>
          <w:szCs w:val="24"/>
        </w:rPr>
        <w:t xml:space="preserve">The remaining balance </w:t>
      </w:r>
      <w:r>
        <w:rPr>
          <w:szCs w:val="24"/>
        </w:rPr>
        <w:t xml:space="preserve">of consultancy fees </w:t>
      </w:r>
      <w:r w:rsidRPr="000237BA">
        <w:rPr>
          <w:szCs w:val="24"/>
        </w:rPr>
        <w:t>will be recouped on the next certificate.</w:t>
      </w:r>
    </w:p>
    <w:p w:rsidR="00CC449F" w:rsidRDefault="00CC449F" w:rsidP="002B1576">
      <w:pPr>
        <w:jc w:val="both"/>
        <w:rPr>
          <w:rFonts w:eastAsia="Calibri"/>
          <w:b/>
          <w:szCs w:val="24"/>
          <w:lang w:val="en-US"/>
        </w:rPr>
      </w:pPr>
    </w:p>
    <w:p w:rsidR="00CC449F" w:rsidRPr="00E553CD" w:rsidRDefault="00CC449F" w:rsidP="002B1576">
      <w:pPr>
        <w:jc w:val="both"/>
        <w:rPr>
          <w:rFonts w:eastAsia="Calibri"/>
          <w:b/>
          <w:szCs w:val="24"/>
          <w:lang w:val="en-US"/>
        </w:rPr>
      </w:pPr>
    </w:p>
    <w:p w:rsidR="00CC449F" w:rsidRPr="00E553CD" w:rsidRDefault="0090103C" w:rsidP="002B1576">
      <w:pPr>
        <w:spacing w:after="200"/>
        <w:jc w:val="both"/>
        <w:rPr>
          <w:rFonts w:eastAsia="Calibri"/>
          <w:szCs w:val="24"/>
          <w:lang w:val="en-US"/>
        </w:rPr>
      </w:pPr>
      <w:r>
        <w:rPr>
          <w:rFonts w:eastAsia="Calibri"/>
          <w:b/>
          <w:szCs w:val="24"/>
          <w:lang w:val="en-US"/>
        </w:rPr>
        <w:t xml:space="preserve">3.6 </w:t>
      </w:r>
      <w:r w:rsidR="004A483D">
        <w:rPr>
          <w:rFonts w:eastAsia="Calibri"/>
          <w:b/>
          <w:szCs w:val="24"/>
          <w:lang w:val="en-US"/>
        </w:rPr>
        <w:t xml:space="preserve"> </w:t>
      </w:r>
      <w:r w:rsidR="00CC449F" w:rsidRPr="00E553CD">
        <w:rPr>
          <w:rFonts w:eastAsia="Calibri"/>
          <w:b/>
          <w:szCs w:val="24"/>
          <w:lang w:val="en-US"/>
        </w:rPr>
        <w:t xml:space="preserve">Construction of Terre Rouge Secondary School (Phase II) and </w:t>
      </w:r>
      <w:proofErr w:type="spellStart"/>
      <w:r w:rsidR="00CC449F" w:rsidRPr="00E553CD">
        <w:rPr>
          <w:rFonts w:eastAsia="Calibri"/>
          <w:b/>
          <w:szCs w:val="24"/>
          <w:lang w:val="en-US"/>
        </w:rPr>
        <w:t>Montagne</w:t>
      </w:r>
      <w:proofErr w:type="spellEnd"/>
      <w:r w:rsidR="00CC449F" w:rsidRPr="00E553CD">
        <w:rPr>
          <w:rFonts w:eastAsia="Calibri"/>
          <w:b/>
          <w:szCs w:val="24"/>
          <w:lang w:val="en-US"/>
        </w:rPr>
        <w:t xml:space="preserve"> </w:t>
      </w:r>
      <w:proofErr w:type="spellStart"/>
      <w:r w:rsidR="00CC449F" w:rsidRPr="00E553CD">
        <w:rPr>
          <w:rFonts w:eastAsia="Calibri"/>
          <w:b/>
          <w:szCs w:val="24"/>
          <w:lang w:val="en-US"/>
        </w:rPr>
        <w:t>Goyaves</w:t>
      </w:r>
      <w:proofErr w:type="spellEnd"/>
      <w:r w:rsidR="00CC449F" w:rsidRPr="00E553CD">
        <w:rPr>
          <w:rFonts w:eastAsia="Calibri"/>
          <w:b/>
          <w:szCs w:val="24"/>
          <w:lang w:val="en-US"/>
        </w:rPr>
        <w:t xml:space="preserve"> Community School  </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r w:rsidRPr="00E553CD">
        <w:rPr>
          <w:rFonts w:eastAsia="Calibri"/>
          <w:szCs w:val="24"/>
          <w:lang w:val="en-US"/>
        </w:rPr>
        <w:t xml:space="preserve">Bids for both the construction of Terre Rouge Secondary School (Phase II) and </w:t>
      </w:r>
      <w:proofErr w:type="spellStart"/>
      <w:r w:rsidRPr="00E553CD">
        <w:rPr>
          <w:rFonts w:eastAsia="Calibri"/>
          <w:szCs w:val="24"/>
          <w:lang w:val="en-US"/>
        </w:rPr>
        <w:t>Montagne</w:t>
      </w:r>
      <w:proofErr w:type="spellEnd"/>
      <w:r w:rsidRPr="00E553CD">
        <w:rPr>
          <w:rFonts w:eastAsia="Calibri"/>
          <w:szCs w:val="24"/>
          <w:lang w:val="en-US"/>
        </w:rPr>
        <w:t xml:space="preserve"> </w:t>
      </w:r>
      <w:proofErr w:type="spellStart"/>
      <w:r w:rsidRPr="00E553CD">
        <w:rPr>
          <w:rFonts w:eastAsia="Calibri"/>
          <w:szCs w:val="24"/>
          <w:lang w:val="en-US"/>
        </w:rPr>
        <w:t>Goyaves</w:t>
      </w:r>
      <w:proofErr w:type="spellEnd"/>
      <w:r w:rsidRPr="00E553CD">
        <w:rPr>
          <w:rFonts w:eastAsia="Calibri"/>
          <w:szCs w:val="24"/>
          <w:lang w:val="en-US"/>
        </w:rPr>
        <w:t xml:space="preserve"> Community School were invited through the open advertised bidding method on 13 June 2013. Opening of bids was carried out on 18 July 2013 at the Central Procurement Board (CPB). However, on 27 September 2013, the latter recommended the cancellation of the exercise due to alleged cases of conflict of interest as provided in the PPA.</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r w:rsidRPr="00E553CD">
        <w:rPr>
          <w:rFonts w:eastAsia="Calibri"/>
          <w:szCs w:val="24"/>
          <w:lang w:val="en-US"/>
        </w:rPr>
        <w:t>On 7 October 2013, CPB advised RRA to carry out an enquiry with a view to establishing whether there had been any breach of the PPA.</w:t>
      </w:r>
    </w:p>
    <w:p w:rsidR="00CC449F" w:rsidRDefault="00CC449F" w:rsidP="002B1576">
      <w:pPr>
        <w:jc w:val="both"/>
        <w:rPr>
          <w:rFonts w:eastAsia="Calibri"/>
          <w:szCs w:val="24"/>
          <w:lang w:val="en-US"/>
        </w:rPr>
      </w:pPr>
    </w:p>
    <w:p w:rsidR="00CC449F" w:rsidRDefault="00CC449F" w:rsidP="002B1576">
      <w:pPr>
        <w:jc w:val="both"/>
        <w:rPr>
          <w:rFonts w:eastAsia="Calibri"/>
          <w:szCs w:val="24"/>
          <w:lang w:val="en-US"/>
        </w:rPr>
      </w:pPr>
    </w:p>
    <w:p w:rsidR="00CC449F" w:rsidRPr="007563EF" w:rsidRDefault="00CC449F" w:rsidP="002B1576">
      <w:pPr>
        <w:jc w:val="both"/>
        <w:rPr>
          <w:rFonts w:eastAsia="Calibri"/>
          <w:b/>
          <w:i/>
          <w:szCs w:val="24"/>
          <w:lang w:val="en-US"/>
        </w:rPr>
      </w:pPr>
      <w:r w:rsidRPr="007563EF">
        <w:rPr>
          <w:rFonts w:eastAsia="Calibri"/>
          <w:b/>
          <w:i/>
          <w:szCs w:val="24"/>
          <w:lang w:val="en-US"/>
        </w:rPr>
        <w:lastRenderedPageBreak/>
        <w:t>Observations</w:t>
      </w:r>
    </w:p>
    <w:p w:rsidR="00CC449F" w:rsidRPr="00E553CD" w:rsidRDefault="00CC449F" w:rsidP="002B1576">
      <w:pPr>
        <w:ind w:left="426"/>
        <w:jc w:val="both"/>
        <w:rPr>
          <w:rFonts w:eastAsia="Calibri"/>
          <w:szCs w:val="24"/>
          <w:lang w:val="en-US"/>
        </w:rPr>
      </w:pPr>
    </w:p>
    <w:p w:rsidR="00CC449F" w:rsidRPr="00E553CD" w:rsidRDefault="00CC449F" w:rsidP="002B1576">
      <w:pPr>
        <w:numPr>
          <w:ilvl w:val="0"/>
          <w:numId w:val="15"/>
        </w:numPr>
        <w:spacing w:after="200"/>
        <w:ind w:left="426"/>
        <w:jc w:val="both"/>
        <w:rPr>
          <w:rFonts w:eastAsia="Calibri"/>
          <w:szCs w:val="24"/>
          <w:lang w:val="en-US"/>
        </w:rPr>
      </w:pPr>
      <w:r w:rsidRPr="00E553CD">
        <w:rPr>
          <w:rFonts w:eastAsia="Calibri"/>
          <w:szCs w:val="24"/>
          <w:lang w:val="en-US"/>
        </w:rPr>
        <w:t>Relevant files and documents for the two projects could not be examined as these were in the custody of the Independent Commission Against Corruption since 31 October 2013.</w:t>
      </w:r>
    </w:p>
    <w:p w:rsidR="00CC449F" w:rsidRPr="00E553CD" w:rsidRDefault="00CC449F" w:rsidP="002B1576">
      <w:pPr>
        <w:numPr>
          <w:ilvl w:val="0"/>
          <w:numId w:val="15"/>
        </w:numPr>
        <w:autoSpaceDE w:val="0"/>
        <w:autoSpaceDN w:val="0"/>
        <w:adjustRightInd w:val="0"/>
        <w:spacing w:after="200"/>
        <w:ind w:left="426"/>
        <w:jc w:val="both"/>
        <w:rPr>
          <w:rFonts w:eastAsia="Calibri"/>
          <w:szCs w:val="24"/>
          <w:lang w:val="en-US"/>
        </w:rPr>
      </w:pPr>
      <w:r w:rsidRPr="00E553CD">
        <w:rPr>
          <w:rFonts w:eastAsia="Calibri"/>
          <w:szCs w:val="24"/>
          <w:lang w:val="en-US"/>
        </w:rPr>
        <w:t xml:space="preserve">As of 11 April 2014, no enquiry as requested by the CPB has been carried out. </w:t>
      </w:r>
    </w:p>
    <w:p w:rsidR="00CC449F" w:rsidRPr="00E553CD" w:rsidRDefault="00CC449F" w:rsidP="002B1576">
      <w:pPr>
        <w:autoSpaceDE w:val="0"/>
        <w:autoSpaceDN w:val="0"/>
        <w:adjustRightInd w:val="0"/>
        <w:jc w:val="both"/>
        <w:rPr>
          <w:rFonts w:eastAsia="Calibri"/>
          <w:szCs w:val="24"/>
          <w:lang w:val="en-US"/>
        </w:rPr>
      </w:pPr>
    </w:p>
    <w:p w:rsidR="00CC449F" w:rsidRPr="007563EF" w:rsidRDefault="00CC449F" w:rsidP="002B1576">
      <w:pPr>
        <w:jc w:val="both"/>
        <w:rPr>
          <w:rFonts w:eastAsia="Calibri"/>
          <w:b/>
          <w:i/>
          <w:szCs w:val="24"/>
          <w:lang w:val="en-US"/>
        </w:rPr>
      </w:pPr>
      <w:r w:rsidRPr="007563EF">
        <w:rPr>
          <w:rFonts w:eastAsia="Calibri"/>
          <w:b/>
          <w:i/>
          <w:szCs w:val="24"/>
          <w:lang w:val="en-US"/>
        </w:rPr>
        <w:t>Recommendation</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r w:rsidRPr="00E553CD">
        <w:rPr>
          <w:rFonts w:eastAsia="Calibri"/>
          <w:szCs w:val="24"/>
          <w:lang w:val="en-US"/>
        </w:rPr>
        <w:t>Adequate control measures are to be put in place to ensure that officers having access to confidential information with regards to capital projects are not involved in any form of conflict of interest.</w:t>
      </w:r>
    </w:p>
    <w:p w:rsidR="00CC449F" w:rsidRPr="00E553CD" w:rsidRDefault="00CC449F" w:rsidP="002B1576">
      <w:pPr>
        <w:jc w:val="both"/>
        <w:rPr>
          <w:rFonts w:eastAsia="Calibri"/>
          <w:b/>
          <w:szCs w:val="24"/>
          <w:lang w:val="en-US"/>
        </w:rPr>
      </w:pPr>
    </w:p>
    <w:p w:rsidR="00CC449F" w:rsidRPr="00E553CD" w:rsidRDefault="00CC449F" w:rsidP="002B1576">
      <w:pPr>
        <w:jc w:val="both"/>
        <w:rPr>
          <w:rFonts w:eastAsia="Calibri"/>
          <w:b/>
          <w:szCs w:val="24"/>
          <w:lang w:val="en-US"/>
        </w:rPr>
      </w:pPr>
    </w:p>
    <w:p w:rsidR="00CC449F" w:rsidRPr="00E553CD" w:rsidRDefault="0090103C" w:rsidP="002B1576">
      <w:pPr>
        <w:spacing w:after="200"/>
        <w:jc w:val="both"/>
        <w:rPr>
          <w:rFonts w:eastAsia="Calibri"/>
          <w:b/>
          <w:szCs w:val="24"/>
          <w:lang w:val="en-US"/>
        </w:rPr>
      </w:pPr>
      <w:r>
        <w:rPr>
          <w:rFonts w:eastAsia="Calibri"/>
          <w:b/>
          <w:szCs w:val="24"/>
          <w:lang w:val="en-US"/>
        </w:rPr>
        <w:t xml:space="preserve">3.7 </w:t>
      </w:r>
      <w:r w:rsidR="004A483D">
        <w:rPr>
          <w:rFonts w:eastAsia="Calibri"/>
          <w:b/>
          <w:szCs w:val="24"/>
          <w:lang w:val="en-US"/>
        </w:rPr>
        <w:t xml:space="preserve"> </w:t>
      </w:r>
      <w:r w:rsidR="00CC449F" w:rsidRPr="00E553CD">
        <w:rPr>
          <w:rFonts w:eastAsia="Calibri"/>
          <w:b/>
          <w:szCs w:val="24"/>
          <w:lang w:val="en-US"/>
        </w:rPr>
        <w:t>Grant to REDCO Ltd – Rs 1 million</w:t>
      </w:r>
    </w:p>
    <w:p w:rsidR="00CC449F" w:rsidRPr="00E553CD" w:rsidRDefault="00CC449F" w:rsidP="002B1576">
      <w:pPr>
        <w:autoSpaceDE w:val="0"/>
        <w:autoSpaceDN w:val="0"/>
        <w:adjustRightInd w:val="0"/>
        <w:jc w:val="both"/>
        <w:rPr>
          <w:rFonts w:eastAsia="Calibri"/>
          <w:szCs w:val="24"/>
          <w:lang w:val="en-US"/>
        </w:rPr>
      </w:pPr>
      <w:r w:rsidRPr="00E553CD">
        <w:rPr>
          <w:rFonts w:eastAsia="Calibri"/>
          <w:szCs w:val="24"/>
          <w:lang w:val="en-US"/>
        </w:rPr>
        <w:t xml:space="preserve">RRA is the majority shareholder of </w:t>
      </w:r>
      <w:proofErr w:type="spellStart"/>
      <w:r w:rsidRPr="00E553CD">
        <w:rPr>
          <w:rFonts w:eastAsia="Calibri"/>
          <w:szCs w:val="24"/>
          <w:lang w:val="en-US"/>
        </w:rPr>
        <w:t>Rodrigues</w:t>
      </w:r>
      <w:proofErr w:type="spellEnd"/>
      <w:r w:rsidRPr="00E553CD">
        <w:rPr>
          <w:rFonts w:eastAsia="Calibri"/>
          <w:szCs w:val="24"/>
          <w:lang w:val="en-US"/>
        </w:rPr>
        <w:t xml:space="preserve"> Educational Development Company (REDCO) Ltd, a private company responsible for the management of </w:t>
      </w:r>
      <w:r>
        <w:rPr>
          <w:rFonts w:eastAsia="Calibri"/>
          <w:szCs w:val="24"/>
          <w:lang w:val="en-US"/>
        </w:rPr>
        <w:t>S</w:t>
      </w:r>
      <w:r w:rsidRPr="00E553CD">
        <w:rPr>
          <w:rFonts w:eastAsia="Calibri"/>
          <w:szCs w:val="24"/>
          <w:lang w:val="en-US"/>
        </w:rPr>
        <w:t xml:space="preserve">econdary </w:t>
      </w:r>
      <w:r>
        <w:rPr>
          <w:rFonts w:eastAsia="Calibri"/>
          <w:szCs w:val="24"/>
          <w:lang w:val="en-US"/>
        </w:rPr>
        <w:t>C</w:t>
      </w:r>
      <w:r w:rsidRPr="00E553CD">
        <w:rPr>
          <w:rFonts w:eastAsia="Calibri"/>
          <w:szCs w:val="24"/>
          <w:lang w:val="en-US"/>
        </w:rPr>
        <w:t xml:space="preserve">olleges in </w:t>
      </w:r>
      <w:proofErr w:type="spellStart"/>
      <w:r w:rsidRPr="00E553CD">
        <w:rPr>
          <w:rFonts w:eastAsia="Calibri"/>
          <w:szCs w:val="24"/>
          <w:lang w:val="en-US"/>
        </w:rPr>
        <w:t>Rodrigues</w:t>
      </w:r>
      <w:proofErr w:type="spellEnd"/>
      <w:r w:rsidRPr="00E553CD">
        <w:rPr>
          <w:rFonts w:eastAsia="Calibri"/>
          <w:szCs w:val="24"/>
          <w:lang w:val="en-US"/>
        </w:rPr>
        <w:t>.</w:t>
      </w:r>
    </w:p>
    <w:p w:rsidR="00CC449F" w:rsidRPr="00E553CD" w:rsidRDefault="00CC449F" w:rsidP="002B1576">
      <w:pPr>
        <w:jc w:val="both"/>
        <w:rPr>
          <w:rFonts w:eastAsia="Calibri"/>
          <w:szCs w:val="24"/>
          <w:lang w:val="en-US"/>
        </w:rPr>
      </w:pPr>
    </w:p>
    <w:p w:rsidR="00CC449F" w:rsidRPr="00E553CD" w:rsidRDefault="00CC449F" w:rsidP="002B1576">
      <w:pPr>
        <w:jc w:val="both"/>
        <w:rPr>
          <w:rFonts w:eastAsia="Calibri"/>
          <w:szCs w:val="24"/>
          <w:lang w:val="en-US"/>
        </w:rPr>
      </w:pPr>
      <w:r w:rsidRPr="00E553CD">
        <w:rPr>
          <w:rFonts w:eastAsia="Calibri"/>
          <w:szCs w:val="24"/>
          <w:lang w:val="en-US"/>
        </w:rPr>
        <w:t xml:space="preserve">On 22 October 2013, RRA provided a grant amounting to Rs 1 million to REDCO Ltd for the procurement of furniture, other equipment and for upgrading works at Citron </w:t>
      </w:r>
      <w:proofErr w:type="spellStart"/>
      <w:r w:rsidRPr="00E553CD">
        <w:rPr>
          <w:rFonts w:eastAsia="Calibri"/>
          <w:szCs w:val="24"/>
          <w:lang w:val="en-US"/>
        </w:rPr>
        <w:t>Donis</w:t>
      </w:r>
      <w:proofErr w:type="spellEnd"/>
      <w:r w:rsidRPr="00E553CD">
        <w:rPr>
          <w:rFonts w:eastAsia="Calibri"/>
          <w:szCs w:val="24"/>
          <w:lang w:val="en-US"/>
        </w:rPr>
        <w:t xml:space="preserve"> College.  On 6 November 2013, the Commission for Education requested REDCO Ltd to submit a detailed report on expenditure incurred.</w:t>
      </w:r>
    </w:p>
    <w:p w:rsidR="00CC449F" w:rsidRDefault="00CC449F" w:rsidP="002B1576">
      <w:pPr>
        <w:jc w:val="both"/>
        <w:rPr>
          <w:rFonts w:eastAsia="Calibri"/>
          <w:i/>
          <w:szCs w:val="24"/>
          <w:lang w:val="en-US"/>
        </w:rPr>
      </w:pPr>
    </w:p>
    <w:p w:rsidR="00CC449F" w:rsidRPr="00E553CD" w:rsidRDefault="00CC449F" w:rsidP="002B1576">
      <w:pPr>
        <w:jc w:val="both"/>
        <w:rPr>
          <w:rFonts w:eastAsia="Calibri"/>
          <w:i/>
          <w:szCs w:val="24"/>
          <w:lang w:val="en-US"/>
        </w:rPr>
      </w:pPr>
    </w:p>
    <w:p w:rsidR="00CC449F" w:rsidRPr="007563EF" w:rsidRDefault="00CC449F" w:rsidP="002B1576">
      <w:pPr>
        <w:jc w:val="both"/>
        <w:rPr>
          <w:rFonts w:eastAsia="Calibri"/>
          <w:b/>
          <w:i/>
          <w:szCs w:val="24"/>
          <w:lang w:val="en-US"/>
        </w:rPr>
      </w:pPr>
      <w:r w:rsidRPr="007563EF">
        <w:rPr>
          <w:rFonts w:eastAsia="Calibri"/>
          <w:b/>
          <w:i/>
          <w:szCs w:val="24"/>
          <w:lang w:val="en-US"/>
        </w:rPr>
        <w:t>Observations</w:t>
      </w:r>
    </w:p>
    <w:p w:rsidR="00CC449F" w:rsidRPr="00E553CD" w:rsidRDefault="00CC449F" w:rsidP="002B1576">
      <w:pPr>
        <w:jc w:val="both"/>
        <w:rPr>
          <w:rFonts w:eastAsia="Calibri"/>
          <w:szCs w:val="24"/>
          <w:lang w:val="en-US"/>
        </w:rPr>
      </w:pPr>
    </w:p>
    <w:p w:rsidR="00CC449F" w:rsidRPr="00E553CD" w:rsidRDefault="00CC449F" w:rsidP="002B1576">
      <w:pPr>
        <w:numPr>
          <w:ilvl w:val="0"/>
          <w:numId w:val="14"/>
        </w:numPr>
        <w:tabs>
          <w:tab w:val="left" w:pos="426"/>
        </w:tabs>
        <w:autoSpaceDE w:val="0"/>
        <w:autoSpaceDN w:val="0"/>
        <w:adjustRightInd w:val="0"/>
        <w:spacing w:after="200"/>
        <w:ind w:left="426"/>
        <w:jc w:val="both"/>
        <w:rPr>
          <w:rFonts w:eastAsia="Calibri"/>
          <w:szCs w:val="24"/>
          <w:lang w:val="en-US"/>
        </w:rPr>
      </w:pPr>
      <w:r w:rsidRPr="00E553CD">
        <w:rPr>
          <w:rFonts w:eastAsia="Calibri"/>
          <w:szCs w:val="24"/>
          <w:lang w:val="en-US"/>
        </w:rPr>
        <w:t>Grant</w:t>
      </w:r>
      <w:r w:rsidRPr="00E553CD">
        <w:rPr>
          <w:rFonts w:eastAsia="Calibri"/>
          <w:i/>
          <w:szCs w:val="24"/>
          <w:lang w:val="en-US"/>
        </w:rPr>
        <w:t xml:space="preserve"> </w:t>
      </w:r>
      <w:r w:rsidRPr="00E553CD">
        <w:rPr>
          <w:rFonts w:eastAsia="Calibri"/>
          <w:szCs w:val="24"/>
          <w:lang w:val="en-US"/>
        </w:rPr>
        <w:t xml:space="preserve">of 1 million to REDCO Ltd is not an Item appearing in the PBB Estimates but was disbursed from Item “Construction/Extension of Secondary </w:t>
      </w:r>
      <w:r>
        <w:rPr>
          <w:rFonts w:eastAsia="Calibri"/>
          <w:szCs w:val="24"/>
          <w:lang w:val="en-US"/>
        </w:rPr>
        <w:t>S</w:t>
      </w:r>
      <w:r w:rsidRPr="00E553CD">
        <w:rPr>
          <w:rFonts w:eastAsia="Calibri"/>
          <w:szCs w:val="24"/>
          <w:lang w:val="en-US"/>
        </w:rPr>
        <w:t>chools, Equipment and Furniture”.</w:t>
      </w:r>
    </w:p>
    <w:p w:rsidR="00CC449F" w:rsidRPr="00E553CD" w:rsidRDefault="00CC449F" w:rsidP="002B1576">
      <w:pPr>
        <w:numPr>
          <w:ilvl w:val="0"/>
          <w:numId w:val="14"/>
        </w:numPr>
        <w:spacing w:after="200"/>
        <w:ind w:left="426"/>
        <w:jc w:val="both"/>
        <w:rPr>
          <w:rFonts w:eastAsia="Calibri"/>
          <w:szCs w:val="24"/>
          <w:lang w:val="en-US"/>
        </w:rPr>
      </w:pPr>
      <w:r w:rsidRPr="00E553CD">
        <w:rPr>
          <w:rFonts w:eastAsia="Calibri"/>
          <w:szCs w:val="24"/>
          <w:lang w:val="en-US"/>
        </w:rPr>
        <w:t>An Expenditure Report and invoices supporting the different purchases and upgrading works were not available for audit purposes.</w:t>
      </w:r>
    </w:p>
    <w:p w:rsidR="00CC449F" w:rsidRPr="00E553CD" w:rsidRDefault="00CC449F" w:rsidP="002B1576">
      <w:pPr>
        <w:ind w:left="426"/>
        <w:jc w:val="both"/>
        <w:rPr>
          <w:rFonts w:eastAsia="Calibri"/>
          <w:szCs w:val="24"/>
          <w:lang w:val="en-US"/>
        </w:rPr>
      </w:pPr>
    </w:p>
    <w:p w:rsidR="00CC449F" w:rsidRPr="007563EF" w:rsidRDefault="00CC449F" w:rsidP="002B1576">
      <w:pPr>
        <w:autoSpaceDE w:val="0"/>
        <w:autoSpaceDN w:val="0"/>
        <w:adjustRightInd w:val="0"/>
        <w:jc w:val="both"/>
        <w:rPr>
          <w:rFonts w:eastAsia="Calibri"/>
          <w:b/>
          <w:i/>
          <w:szCs w:val="24"/>
          <w:lang w:val="en-US"/>
        </w:rPr>
      </w:pPr>
      <w:r w:rsidRPr="007563EF">
        <w:rPr>
          <w:rFonts w:eastAsia="Calibri"/>
          <w:b/>
          <w:i/>
          <w:szCs w:val="24"/>
          <w:lang w:val="en-US"/>
        </w:rPr>
        <w:t>Recommendation</w:t>
      </w:r>
    </w:p>
    <w:p w:rsidR="00CC449F" w:rsidRPr="00E553CD" w:rsidRDefault="00CC449F" w:rsidP="002B1576">
      <w:pPr>
        <w:autoSpaceDE w:val="0"/>
        <w:autoSpaceDN w:val="0"/>
        <w:adjustRightInd w:val="0"/>
        <w:jc w:val="both"/>
        <w:rPr>
          <w:rFonts w:eastAsia="Calibri"/>
          <w:szCs w:val="24"/>
          <w:lang w:val="en-US"/>
        </w:rPr>
      </w:pPr>
    </w:p>
    <w:p w:rsidR="00CC449F" w:rsidRPr="00E553CD" w:rsidRDefault="00CC449F" w:rsidP="002B1576">
      <w:pPr>
        <w:jc w:val="both"/>
        <w:rPr>
          <w:rFonts w:eastAsia="Calibri"/>
          <w:szCs w:val="24"/>
          <w:lang w:val="en-US"/>
        </w:rPr>
      </w:pPr>
      <w:r w:rsidRPr="00E553CD">
        <w:rPr>
          <w:rFonts w:eastAsia="Calibri"/>
          <w:szCs w:val="24"/>
          <w:lang w:val="en-US"/>
        </w:rPr>
        <w:t xml:space="preserve">Expenditure should be made strictly in accordance with </w:t>
      </w:r>
      <w:proofErr w:type="spellStart"/>
      <w:r w:rsidRPr="00E553CD">
        <w:rPr>
          <w:rFonts w:eastAsia="Calibri"/>
          <w:szCs w:val="24"/>
          <w:lang w:val="en-US"/>
        </w:rPr>
        <w:t>Programmes</w:t>
      </w:r>
      <w:proofErr w:type="spellEnd"/>
      <w:r w:rsidRPr="00E553CD">
        <w:rPr>
          <w:rFonts w:eastAsia="Calibri"/>
          <w:szCs w:val="24"/>
          <w:lang w:val="en-US"/>
        </w:rPr>
        <w:t xml:space="preserve"> in the PBB Estimates as approved by the National Assembly.</w:t>
      </w:r>
    </w:p>
    <w:p w:rsidR="00CC449F" w:rsidRPr="00E553CD" w:rsidRDefault="00CC449F" w:rsidP="002B1576">
      <w:pPr>
        <w:jc w:val="both"/>
        <w:rPr>
          <w:rFonts w:eastAsia="Calibri"/>
          <w:szCs w:val="24"/>
          <w:lang w:val="en-US"/>
        </w:rPr>
      </w:pPr>
    </w:p>
    <w:p w:rsidR="00CC449F" w:rsidRDefault="00CC449F" w:rsidP="002B1576"/>
    <w:p w:rsidR="0090103C" w:rsidRPr="007F0EFD" w:rsidRDefault="0090103C" w:rsidP="002B1576">
      <w:pPr>
        <w:jc w:val="both"/>
        <w:rPr>
          <w:rFonts w:eastAsia="Calibri"/>
          <w:szCs w:val="24"/>
          <w:lang w:val="en-US"/>
        </w:rPr>
      </w:pPr>
      <w:r>
        <w:rPr>
          <w:rFonts w:eastAsia="Calibri"/>
          <w:b/>
          <w:szCs w:val="24"/>
          <w:lang w:val="en-US"/>
        </w:rPr>
        <w:t xml:space="preserve">3.8 </w:t>
      </w:r>
      <w:r w:rsidR="004A483D">
        <w:rPr>
          <w:rFonts w:eastAsia="Calibri"/>
          <w:b/>
          <w:szCs w:val="24"/>
          <w:lang w:val="en-US"/>
        </w:rPr>
        <w:t xml:space="preserve"> </w:t>
      </w:r>
      <w:proofErr w:type="spellStart"/>
      <w:r w:rsidRPr="007F0EFD">
        <w:rPr>
          <w:rFonts w:eastAsia="Calibri"/>
          <w:b/>
          <w:szCs w:val="24"/>
          <w:lang w:val="en-US"/>
        </w:rPr>
        <w:t>Underutilisation</w:t>
      </w:r>
      <w:proofErr w:type="spellEnd"/>
      <w:r w:rsidRPr="007F0EFD">
        <w:rPr>
          <w:rFonts w:eastAsia="Calibri"/>
          <w:b/>
          <w:szCs w:val="24"/>
          <w:lang w:val="en-US"/>
        </w:rPr>
        <w:t xml:space="preserve"> of Assets</w:t>
      </w:r>
    </w:p>
    <w:p w:rsidR="0090103C" w:rsidRDefault="0090103C" w:rsidP="002B1576">
      <w:pPr>
        <w:jc w:val="both"/>
        <w:rPr>
          <w:rFonts w:eastAsia="Calibri"/>
          <w:szCs w:val="24"/>
          <w:lang w:val="en-US"/>
        </w:rPr>
      </w:pPr>
    </w:p>
    <w:p w:rsidR="0090103C" w:rsidRPr="007F0EFD" w:rsidRDefault="0090103C" w:rsidP="002B1576">
      <w:pPr>
        <w:jc w:val="both"/>
        <w:rPr>
          <w:rFonts w:eastAsia="Calibri"/>
          <w:szCs w:val="24"/>
          <w:lang w:val="en-US"/>
        </w:rPr>
      </w:pPr>
    </w:p>
    <w:p w:rsidR="0090103C" w:rsidRPr="007F0EFD" w:rsidRDefault="0090103C" w:rsidP="002B1576">
      <w:pPr>
        <w:jc w:val="both"/>
        <w:rPr>
          <w:rFonts w:eastAsia="Calibri"/>
          <w:b/>
          <w:i/>
          <w:szCs w:val="24"/>
          <w:lang w:val="en-US"/>
        </w:rPr>
      </w:pPr>
      <w:r>
        <w:rPr>
          <w:rFonts w:eastAsia="Calibri"/>
          <w:b/>
          <w:i/>
          <w:szCs w:val="24"/>
          <w:lang w:val="en-US"/>
        </w:rPr>
        <w:t xml:space="preserve">3.8.1 </w:t>
      </w:r>
      <w:r w:rsidR="004A483D">
        <w:rPr>
          <w:rFonts w:eastAsia="Calibri"/>
          <w:b/>
          <w:i/>
          <w:szCs w:val="24"/>
          <w:lang w:val="en-US"/>
        </w:rPr>
        <w:t xml:space="preserve"> </w:t>
      </w:r>
      <w:r w:rsidRPr="007F0EFD">
        <w:rPr>
          <w:rFonts w:eastAsia="Calibri"/>
          <w:b/>
          <w:i/>
          <w:szCs w:val="24"/>
          <w:lang w:val="en-US"/>
        </w:rPr>
        <w:t>Tractors – Rs 4.53 million</w:t>
      </w:r>
    </w:p>
    <w:p w:rsidR="0090103C" w:rsidRPr="007F0EFD" w:rsidRDefault="0090103C" w:rsidP="002B1576">
      <w:pPr>
        <w:jc w:val="both"/>
        <w:rPr>
          <w:rFonts w:eastAsia="Calibri"/>
          <w:szCs w:val="24"/>
          <w:lang w:val="en-US"/>
        </w:rPr>
      </w:pPr>
    </w:p>
    <w:p w:rsidR="0090103C" w:rsidRPr="007F0EFD" w:rsidRDefault="0090103C" w:rsidP="002B1576">
      <w:pPr>
        <w:jc w:val="both"/>
        <w:rPr>
          <w:rFonts w:eastAsia="Calibri"/>
          <w:szCs w:val="24"/>
          <w:lang w:val="en-US"/>
        </w:rPr>
      </w:pPr>
      <w:r w:rsidRPr="007F0EFD">
        <w:rPr>
          <w:rFonts w:eastAsia="Calibri"/>
          <w:szCs w:val="24"/>
          <w:lang w:val="en-US"/>
        </w:rPr>
        <w:t>In October 2011, three tractors costing some Rs 4.53 million were purchased by the Commission</w:t>
      </w:r>
      <w:r w:rsidR="00230DBC">
        <w:rPr>
          <w:rFonts w:eastAsia="Calibri"/>
          <w:szCs w:val="24"/>
          <w:lang w:val="en-US"/>
        </w:rPr>
        <w:t xml:space="preserve"> (Agriculture)</w:t>
      </w:r>
      <w:r w:rsidRPr="007F0EFD">
        <w:rPr>
          <w:rFonts w:eastAsia="Calibri"/>
          <w:szCs w:val="24"/>
          <w:lang w:val="en-US"/>
        </w:rPr>
        <w:t xml:space="preserve"> for </w:t>
      </w:r>
      <w:proofErr w:type="spellStart"/>
      <w:r w:rsidRPr="007F0EFD">
        <w:rPr>
          <w:rFonts w:eastAsia="Calibri"/>
          <w:szCs w:val="24"/>
          <w:lang w:val="en-US"/>
        </w:rPr>
        <w:t>mechanisation</w:t>
      </w:r>
      <w:proofErr w:type="spellEnd"/>
      <w:r w:rsidRPr="007F0EFD">
        <w:rPr>
          <w:rFonts w:eastAsia="Calibri"/>
          <w:szCs w:val="24"/>
          <w:lang w:val="en-US"/>
        </w:rPr>
        <w:t xml:space="preserve"> purposes. Since their acquisitions, the three tractors have been encountering problems in their brake and hydraulic systems, and gear box.</w:t>
      </w:r>
    </w:p>
    <w:p w:rsidR="0090103C" w:rsidRPr="007F0EFD" w:rsidRDefault="0090103C" w:rsidP="002B1576">
      <w:pPr>
        <w:jc w:val="both"/>
        <w:rPr>
          <w:rFonts w:eastAsia="Calibri"/>
          <w:szCs w:val="24"/>
          <w:lang w:val="en-US"/>
        </w:rPr>
      </w:pPr>
    </w:p>
    <w:p w:rsidR="0090103C" w:rsidRPr="007F0EFD" w:rsidRDefault="0090103C" w:rsidP="002B1576">
      <w:pPr>
        <w:jc w:val="both"/>
        <w:rPr>
          <w:rFonts w:eastAsia="Calibri"/>
          <w:szCs w:val="24"/>
          <w:lang w:val="en-US"/>
        </w:rPr>
      </w:pPr>
      <w:r w:rsidRPr="007F0EFD">
        <w:rPr>
          <w:rFonts w:eastAsia="Calibri"/>
          <w:szCs w:val="24"/>
          <w:lang w:val="en-US"/>
        </w:rPr>
        <w:lastRenderedPageBreak/>
        <w:t xml:space="preserve">During the period December 2011 to March 2014, each of these three tractors </w:t>
      </w:r>
      <w:r w:rsidR="00AF4191" w:rsidRPr="007F0EFD">
        <w:rPr>
          <w:rFonts w:eastAsia="Calibri"/>
          <w:szCs w:val="24"/>
          <w:lang w:val="en-US"/>
        </w:rPr>
        <w:t>was</w:t>
      </w:r>
      <w:r w:rsidRPr="007F0EFD">
        <w:rPr>
          <w:rFonts w:eastAsia="Calibri"/>
          <w:szCs w:val="24"/>
          <w:lang w:val="en-US"/>
        </w:rPr>
        <w:t xml:space="preserve"> unavailable for use for an average period of 300 days. As of March 2014, the three tractors were still not in operation due to mechanical problems. These were being addressed by the supplier with long delays even though the vehicles were under their warranty period of two years.</w:t>
      </w:r>
    </w:p>
    <w:p w:rsidR="0090103C" w:rsidRPr="007F0EFD" w:rsidRDefault="0090103C" w:rsidP="002B1576">
      <w:pPr>
        <w:contextualSpacing/>
        <w:jc w:val="both"/>
        <w:rPr>
          <w:rFonts w:eastAsia="Calibri"/>
          <w:szCs w:val="24"/>
          <w:lang w:val="en-US"/>
        </w:rPr>
      </w:pPr>
    </w:p>
    <w:p w:rsidR="0090103C" w:rsidRPr="007F0EFD" w:rsidRDefault="0090103C" w:rsidP="002B1576">
      <w:pPr>
        <w:numPr>
          <w:ilvl w:val="0"/>
          <w:numId w:val="27"/>
        </w:numPr>
        <w:spacing w:after="200"/>
        <w:ind w:left="360"/>
        <w:contextualSpacing/>
        <w:jc w:val="both"/>
        <w:rPr>
          <w:rFonts w:eastAsia="Calibri"/>
          <w:szCs w:val="24"/>
          <w:lang w:val="en-US"/>
        </w:rPr>
      </w:pPr>
      <w:r w:rsidRPr="007F0EFD">
        <w:rPr>
          <w:rFonts w:eastAsia="Calibri"/>
          <w:szCs w:val="24"/>
          <w:lang w:val="en-US"/>
        </w:rPr>
        <w:t xml:space="preserve">Two of the three tractors were sent to workshop only one month after their receipts. In November 2012, the supplier reported that the wheel cylinder should be renewed on the two tractors. These were renewed in July 2013, that is some six months later. </w:t>
      </w:r>
    </w:p>
    <w:p w:rsidR="0090103C" w:rsidRPr="007F0EFD" w:rsidRDefault="0090103C" w:rsidP="002B1576">
      <w:pPr>
        <w:ind w:left="30"/>
        <w:contextualSpacing/>
        <w:jc w:val="both"/>
        <w:rPr>
          <w:rFonts w:eastAsia="Calibri"/>
          <w:szCs w:val="24"/>
          <w:lang w:val="en-US"/>
        </w:rPr>
      </w:pPr>
    </w:p>
    <w:p w:rsidR="0090103C" w:rsidRPr="007F0EFD" w:rsidRDefault="0090103C" w:rsidP="002B1576">
      <w:pPr>
        <w:numPr>
          <w:ilvl w:val="0"/>
          <w:numId w:val="27"/>
        </w:numPr>
        <w:spacing w:after="200"/>
        <w:ind w:left="360"/>
        <w:contextualSpacing/>
        <w:jc w:val="both"/>
        <w:rPr>
          <w:rFonts w:eastAsia="Calibri"/>
          <w:szCs w:val="24"/>
          <w:lang w:val="en-US"/>
        </w:rPr>
      </w:pPr>
      <w:r w:rsidRPr="007F0EFD">
        <w:rPr>
          <w:rFonts w:eastAsia="Calibri"/>
          <w:szCs w:val="24"/>
          <w:lang w:val="en-US"/>
        </w:rPr>
        <w:t>In August 2013, the supplier was notified of the repairs of brake discs and brake plates of the three tractors. The repairs were only effected in February 2014, that is more than five months later. An amount of Rs 193,925 had to be paid by the Commission since repairs were effected outside the warranty period.</w:t>
      </w:r>
    </w:p>
    <w:p w:rsidR="0090103C" w:rsidRPr="007F0EFD" w:rsidRDefault="0090103C" w:rsidP="002B1576">
      <w:pPr>
        <w:contextualSpacing/>
        <w:jc w:val="both"/>
        <w:rPr>
          <w:rFonts w:eastAsia="Calibri"/>
          <w:szCs w:val="24"/>
          <w:lang w:val="en-US"/>
        </w:rPr>
      </w:pPr>
    </w:p>
    <w:p w:rsidR="0090103C" w:rsidRPr="007F0EFD" w:rsidRDefault="0090103C" w:rsidP="002B1576">
      <w:pPr>
        <w:contextualSpacing/>
        <w:jc w:val="both"/>
        <w:rPr>
          <w:rFonts w:eastAsia="Calibri"/>
          <w:szCs w:val="24"/>
          <w:lang w:val="en-US"/>
        </w:rPr>
      </w:pPr>
      <w:r w:rsidRPr="007F0EFD">
        <w:rPr>
          <w:rFonts w:eastAsia="Calibri"/>
          <w:szCs w:val="24"/>
          <w:lang w:val="en-US"/>
        </w:rPr>
        <w:t>The Commission could not take corrective action since a bank guarantee, representing five per cent of the final contract price was not submitted, contrary to the special condition of contract. Hence, the interest of the RRA has not been safeguarded.</w:t>
      </w:r>
    </w:p>
    <w:p w:rsidR="0090103C" w:rsidRDefault="0090103C" w:rsidP="002B1576">
      <w:pPr>
        <w:jc w:val="both"/>
        <w:rPr>
          <w:rFonts w:eastAsia="Calibri"/>
          <w:szCs w:val="24"/>
          <w:lang w:val="en-US"/>
        </w:rPr>
      </w:pPr>
    </w:p>
    <w:p w:rsidR="0090103C" w:rsidRPr="007F0EFD" w:rsidRDefault="0090103C" w:rsidP="002B1576">
      <w:pPr>
        <w:jc w:val="both"/>
        <w:rPr>
          <w:rFonts w:eastAsia="Calibri"/>
          <w:szCs w:val="24"/>
          <w:lang w:val="en-US"/>
        </w:rPr>
      </w:pPr>
    </w:p>
    <w:p w:rsidR="0090103C" w:rsidRPr="007F0EFD" w:rsidRDefault="0090103C" w:rsidP="002B1576">
      <w:pPr>
        <w:jc w:val="both"/>
        <w:rPr>
          <w:rFonts w:eastAsia="Calibri"/>
          <w:b/>
          <w:i/>
          <w:szCs w:val="24"/>
          <w:lang w:val="en-US"/>
        </w:rPr>
      </w:pPr>
      <w:r>
        <w:rPr>
          <w:rFonts w:eastAsia="Calibri"/>
          <w:b/>
          <w:i/>
          <w:szCs w:val="24"/>
          <w:lang w:val="en-US"/>
        </w:rPr>
        <w:t>3.8.2</w:t>
      </w:r>
      <w:r w:rsidR="004A483D">
        <w:rPr>
          <w:rFonts w:eastAsia="Calibri"/>
          <w:b/>
          <w:i/>
          <w:szCs w:val="24"/>
          <w:lang w:val="en-US"/>
        </w:rPr>
        <w:t xml:space="preserve"> </w:t>
      </w:r>
      <w:r>
        <w:rPr>
          <w:rFonts w:eastAsia="Calibri"/>
          <w:b/>
          <w:i/>
          <w:szCs w:val="24"/>
          <w:lang w:val="en-US"/>
        </w:rPr>
        <w:t xml:space="preserve"> </w:t>
      </w:r>
      <w:r w:rsidRPr="007F0EFD">
        <w:rPr>
          <w:rFonts w:eastAsia="Calibri"/>
          <w:b/>
          <w:i/>
          <w:szCs w:val="24"/>
          <w:lang w:val="en-US"/>
        </w:rPr>
        <w:t>Honey Processing and Bottling Unit – Rs 1.6 million</w:t>
      </w:r>
    </w:p>
    <w:p w:rsidR="0090103C" w:rsidRPr="007F0EFD" w:rsidRDefault="0090103C" w:rsidP="002B1576">
      <w:pPr>
        <w:jc w:val="both"/>
        <w:rPr>
          <w:rFonts w:eastAsia="Calibri"/>
          <w:szCs w:val="24"/>
          <w:lang w:val="en-US"/>
        </w:rPr>
      </w:pPr>
    </w:p>
    <w:p w:rsidR="0090103C" w:rsidRDefault="0090103C" w:rsidP="002B1576">
      <w:pPr>
        <w:jc w:val="both"/>
        <w:rPr>
          <w:rFonts w:eastAsia="Calibri"/>
          <w:szCs w:val="24"/>
          <w:lang w:val="en-US"/>
        </w:rPr>
      </w:pPr>
      <w:r w:rsidRPr="007F0EFD">
        <w:rPr>
          <w:rFonts w:eastAsia="Calibri"/>
          <w:szCs w:val="24"/>
          <w:lang w:val="en-US"/>
        </w:rPr>
        <w:t xml:space="preserve">In December 2009, several </w:t>
      </w:r>
      <w:r>
        <w:rPr>
          <w:rFonts w:eastAsia="Calibri"/>
          <w:szCs w:val="24"/>
          <w:lang w:val="en-US"/>
        </w:rPr>
        <w:t xml:space="preserve">items of </w:t>
      </w:r>
      <w:r w:rsidRPr="007F0EFD">
        <w:rPr>
          <w:rFonts w:eastAsia="Calibri"/>
          <w:szCs w:val="24"/>
          <w:lang w:val="en-US"/>
        </w:rPr>
        <w:t xml:space="preserve">equipment costing some Rs 1.6 million were purchased by the Commission </w:t>
      </w:r>
      <w:r w:rsidR="00230DBC">
        <w:rPr>
          <w:rFonts w:eastAsia="Calibri"/>
          <w:szCs w:val="24"/>
          <w:lang w:val="en-US"/>
        </w:rPr>
        <w:t xml:space="preserve">(Agriculture) </w:t>
      </w:r>
      <w:r w:rsidRPr="007F0EFD">
        <w:rPr>
          <w:rFonts w:eastAsia="Calibri"/>
          <w:szCs w:val="24"/>
          <w:lang w:val="en-US"/>
        </w:rPr>
        <w:t xml:space="preserve">for the setting up of a Honey Processing and Bottling Unit. As of March 2014, that is more than four years later, the Unit was still not yet set up.  All the </w:t>
      </w:r>
      <w:r>
        <w:rPr>
          <w:rFonts w:eastAsia="Calibri"/>
          <w:szCs w:val="24"/>
          <w:lang w:val="en-US"/>
        </w:rPr>
        <w:t xml:space="preserve">items of </w:t>
      </w:r>
      <w:r w:rsidRPr="007F0EFD">
        <w:rPr>
          <w:rFonts w:eastAsia="Calibri"/>
          <w:szCs w:val="24"/>
          <w:lang w:val="en-US"/>
        </w:rPr>
        <w:t xml:space="preserve">equipment were lying idle in a mini laboratory since their receipt. </w:t>
      </w:r>
    </w:p>
    <w:p w:rsidR="0090103C" w:rsidRPr="007F0EFD" w:rsidRDefault="0090103C" w:rsidP="002B1576">
      <w:pPr>
        <w:jc w:val="both"/>
        <w:rPr>
          <w:rFonts w:eastAsia="Calibri"/>
          <w:szCs w:val="24"/>
          <w:lang w:val="en-US"/>
        </w:rPr>
      </w:pPr>
    </w:p>
    <w:p w:rsidR="0090103C" w:rsidRPr="007F0EFD" w:rsidRDefault="0090103C" w:rsidP="002B1576">
      <w:pPr>
        <w:jc w:val="both"/>
        <w:rPr>
          <w:rFonts w:eastAsia="Calibri"/>
          <w:szCs w:val="24"/>
          <w:lang w:val="en-US"/>
        </w:rPr>
      </w:pPr>
      <w:r w:rsidRPr="007F0EFD">
        <w:rPr>
          <w:rFonts w:eastAsia="Calibri"/>
          <w:szCs w:val="24"/>
          <w:lang w:val="en-US"/>
        </w:rPr>
        <w:t xml:space="preserve">According to the special condition of contract, the warranty period of some of these equipment would expire in December 2014. By the time the Unit would be set up and equipment put to use, the warranty period might </w:t>
      </w:r>
      <w:r>
        <w:rPr>
          <w:rFonts w:eastAsia="Calibri"/>
          <w:szCs w:val="24"/>
          <w:lang w:val="en-US"/>
        </w:rPr>
        <w:t xml:space="preserve">have </w:t>
      </w:r>
      <w:r w:rsidRPr="007F0EFD">
        <w:rPr>
          <w:rFonts w:eastAsia="Calibri"/>
          <w:szCs w:val="24"/>
          <w:lang w:val="en-US"/>
        </w:rPr>
        <w:t>lapse</w:t>
      </w:r>
      <w:r>
        <w:rPr>
          <w:rFonts w:eastAsia="Calibri"/>
          <w:szCs w:val="24"/>
          <w:lang w:val="en-US"/>
        </w:rPr>
        <w:t>d</w:t>
      </w:r>
      <w:r w:rsidRPr="007F0EFD">
        <w:rPr>
          <w:rFonts w:eastAsia="Calibri"/>
          <w:szCs w:val="24"/>
          <w:lang w:val="en-US"/>
        </w:rPr>
        <w:t xml:space="preserve">. </w:t>
      </w:r>
    </w:p>
    <w:p w:rsidR="0090103C" w:rsidRPr="007F0EFD" w:rsidRDefault="0090103C" w:rsidP="002B1576">
      <w:pPr>
        <w:jc w:val="both"/>
        <w:rPr>
          <w:rFonts w:eastAsia="Calibri"/>
          <w:szCs w:val="24"/>
          <w:lang w:val="en-US"/>
        </w:rPr>
      </w:pPr>
    </w:p>
    <w:p w:rsidR="0090103C" w:rsidRPr="007F0EFD" w:rsidRDefault="0090103C" w:rsidP="002B1576">
      <w:pPr>
        <w:jc w:val="both"/>
        <w:rPr>
          <w:rFonts w:eastAsia="Calibri"/>
          <w:szCs w:val="24"/>
          <w:lang w:val="en-US"/>
        </w:rPr>
      </w:pPr>
      <w:r w:rsidRPr="007F0EFD">
        <w:rPr>
          <w:rFonts w:eastAsia="Calibri"/>
          <w:szCs w:val="24"/>
          <w:lang w:val="en-US"/>
        </w:rPr>
        <w:t>The Commission has not yet derived any economic benefits from the assets purchased.</w:t>
      </w:r>
    </w:p>
    <w:p w:rsidR="0090103C" w:rsidRDefault="0090103C" w:rsidP="002B1576">
      <w:pPr>
        <w:jc w:val="both"/>
        <w:rPr>
          <w:rFonts w:eastAsia="Calibri"/>
          <w:szCs w:val="24"/>
          <w:lang w:val="en-US"/>
        </w:rPr>
      </w:pPr>
    </w:p>
    <w:p w:rsidR="0090103C" w:rsidRPr="007F0EFD" w:rsidRDefault="0090103C" w:rsidP="002B1576">
      <w:pPr>
        <w:jc w:val="both"/>
        <w:rPr>
          <w:rFonts w:eastAsia="Calibri"/>
          <w:szCs w:val="24"/>
          <w:lang w:val="en-US"/>
        </w:rPr>
      </w:pPr>
    </w:p>
    <w:p w:rsidR="0090103C" w:rsidRPr="00FF1273" w:rsidRDefault="0090103C" w:rsidP="002B1576">
      <w:pPr>
        <w:contextualSpacing/>
        <w:jc w:val="both"/>
        <w:rPr>
          <w:rFonts w:eastAsia="Calibri"/>
          <w:b/>
          <w:i/>
          <w:szCs w:val="24"/>
          <w:lang w:val="en-US"/>
        </w:rPr>
      </w:pPr>
      <w:r w:rsidRPr="00FF1273">
        <w:rPr>
          <w:rFonts w:eastAsia="Calibri"/>
          <w:b/>
          <w:i/>
          <w:szCs w:val="24"/>
          <w:lang w:val="en-US"/>
        </w:rPr>
        <w:t>Recommendations</w:t>
      </w:r>
    </w:p>
    <w:p w:rsidR="0090103C" w:rsidRPr="007F0EFD" w:rsidRDefault="0090103C" w:rsidP="002B1576">
      <w:pPr>
        <w:contextualSpacing/>
        <w:jc w:val="both"/>
        <w:rPr>
          <w:rFonts w:eastAsia="Calibri"/>
          <w:i/>
          <w:szCs w:val="24"/>
          <w:lang w:val="en-US"/>
        </w:rPr>
      </w:pPr>
    </w:p>
    <w:p w:rsidR="0090103C" w:rsidRPr="007F0EFD" w:rsidRDefault="0090103C" w:rsidP="002B1576">
      <w:pPr>
        <w:contextualSpacing/>
        <w:jc w:val="both"/>
        <w:rPr>
          <w:rFonts w:eastAsia="Calibri"/>
          <w:szCs w:val="24"/>
          <w:lang w:val="en-US"/>
        </w:rPr>
      </w:pPr>
      <w:r w:rsidRPr="007F0EFD">
        <w:rPr>
          <w:rFonts w:eastAsia="Calibri"/>
          <w:szCs w:val="24"/>
          <w:lang w:val="en-US"/>
        </w:rPr>
        <w:t xml:space="preserve">The Commission should ensure that, in future, all clauses of contract are strictly adhered to by the supplier. Appropriate action should be taken against the supplier for </w:t>
      </w:r>
      <w:r>
        <w:rPr>
          <w:rFonts w:eastAsia="Calibri"/>
          <w:szCs w:val="24"/>
          <w:lang w:val="en-US"/>
        </w:rPr>
        <w:t>cases of</w:t>
      </w:r>
      <w:r w:rsidRPr="007F0EFD">
        <w:rPr>
          <w:rFonts w:eastAsia="Calibri"/>
          <w:szCs w:val="24"/>
          <w:lang w:val="en-US"/>
        </w:rPr>
        <w:t xml:space="preserve"> non-compliance.</w:t>
      </w:r>
    </w:p>
    <w:p w:rsidR="0090103C" w:rsidRPr="007F0EFD" w:rsidRDefault="0090103C" w:rsidP="002B1576">
      <w:pPr>
        <w:contextualSpacing/>
        <w:jc w:val="both"/>
        <w:rPr>
          <w:rFonts w:eastAsia="Calibri"/>
          <w:szCs w:val="24"/>
          <w:lang w:val="en-US"/>
        </w:rPr>
      </w:pPr>
    </w:p>
    <w:p w:rsidR="0090103C" w:rsidRPr="007F0EFD" w:rsidRDefault="0090103C" w:rsidP="002B1576">
      <w:pPr>
        <w:contextualSpacing/>
        <w:jc w:val="both"/>
        <w:rPr>
          <w:rFonts w:eastAsia="Calibri"/>
          <w:szCs w:val="24"/>
          <w:lang w:val="en-US"/>
        </w:rPr>
      </w:pPr>
      <w:r w:rsidRPr="007F0EFD">
        <w:rPr>
          <w:rFonts w:eastAsia="Calibri"/>
          <w:szCs w:val="24"/>
          <w:lang w:val="en-US"/>
        </w:rPr>
        <w:t xml:space="preserve">The Commission should consider the setting up of the Honey Processing and Bottling Unit as soon as possible so as not to further delay the </w:t>
      </w:r>
      <w:proofErr w:type="spellStart"/>
      <w:r w:rsidRPr="007F0EFD">
        <w:rPr>
          <w:rFonts w:eastAsia="Calibri"/>
          <w:szCs w:val="24"/>
          <w:lang w:val="en-US"/>
        </w:rPr>
        <w:t>utilisat</w:t>
      </w:r>
      <w:r>
        <w:rPr>
          <w:rFonts w:eastAsia="Calibri"/>
          <w:szCs w:val="24"/>
          <w:lang w:val="en-US"/>
        </w:rPr>
        <w:t>ion</w:t>
      </w:r>
      <w:proofErr w:type="spellEnd"/>
      <w:r>
        <w:rPr>
          <w:rFonts w:eastAsia="Calibri"/>
          <w:szCs w:val="24"/>
          <w:lang w:val="en-US"/>
        </w:rPr>
        <w:t xml:space="preserve"> of the equipment purchased.</w:t>
      </w:r>
    </w:p>
    <w:p w:rsidR="00CC449F" w:rsidRDefault="00CC449F" w:rsidP="002B1576"/>
    <w:p w:rsidR="0090103C" w:rsidRDefault="0090103C" w:rsidP="002B1576"/>
    <w:p w:rsidR="0000691A" w:rsidRPr="007909F0" w:rsidRDefault="0090103C" w:rsidP="002B1576">
      <w:pPr>
        <w:jc w:val="both"/>
        <w:rPr>
          <w:rFonts w:eastAsia="Calibri"/>
          <w:b/>
          <w:szCs w:val="24"/>
          <w:lang w:val="en-US"/>
        </w:rPr>
      </w:pPr>
      <w:r>
        <w:rPr>
          <w:rFonts w:eastAsia="Calibri"/>
          <w:b/>
          <w:szCs w:val="24"/>
          <w:lang w:val="en-US"/>
        </w:rPr>
        <w:t xml:space="preserve">3.9 </w:t>
      </w:r>
      <w:r w:rsidR="004A483D">
        <w:rPr>
          <w:rFonts w:eastAsia="Calibri"/>
          <w:b/>
          <w:szCs w:val="24"/>
          <w:lang w:val="en-US"/>
        </w:rPr>
        <w:t xml:space="preserve"> </w:t>
      </w:r>
      <w:r w:rsidR="0000691A" w:rsidRPr="007909F0">
        <w:rPr>
          <w:rFonts w:eastAsia="Calibri"/>
          <w:b/>
          <w:szCs w:val="24"/>
          <w:lang w:val="en-US"/>
        </w:rPr>
        <w:t>Food Security Fund</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 xml:space="preserve">At paragraph 3.11 of the Audit Report for the year ended 31 December 2012, mention was made of various shortcomings and discrepancies noted in the implementation and monitoring of the projects which were financed by the Food Security Fund (Mauritius). </w:t>
      </w:r>
    </w:p>
    <w:p w:rsidR="00F32FCD" w:rsidRDefault="00F32FCD" w:rsidP="002B1576">
      <w:pPr>
        <w:jc w:val="both"/>
        <w:rPr>
          <w:rFonts w:eastAsia="Calibri"/>
          <w:szCs w:val="24"/>
          <w:lang w:val="en-US"/>
        </w:rPr>
      </w:pPr>
    </w:p>
    <w:p w:rsidR="0000691A" w:rsidRPr="007909F0" w:rsidRDefault="0090103C" w:rsidP="002B1576">
      <w:pPr>
        <w:jc w:val="both"/>
        <w:rPr>
          <w:rFonts w:eastAsia="Calibri"/>
          <w:b/>
          <w:i/>
          <w:szCs w:val="24"/>
          <w:lang w:val="en-US"/>
        </w:rPr>
      </w:pPr>
      <w:r>
        <w:rPr>
          <w:rFonts w:eastAsia="Calibri"/>
          <w:b/>
          <w:i/>
          <w:szCs w:val="24"/>
          <w:lang w:val="en-US"/>
        </w:rPr>
        <w:lastRenderedPageBreak/>
        <w:t xml:space="preserve">3.9.1 </w:t>
      </w:r>
      <w:r w:rsidR="004A483D">
        <w:rPr>
          <w:rFonts w:eastAsia="Calibri"/>
          <w:b/>
          <w:i/>
          <w:szCs w:val="24"/>
          <w:lang w:val="en-US"/>
        </w:rPr>
        <w:t xml:space="preserve"> </w:t>
      </w:r>
      <w:r w:rsidR="0000691A" w:rsidRPr="007909F0">
        <w:rPr>
          <w:rFonts w:eastAsia="Calibri"/>
          <w:b/>
          <w:i/>
          <w:szCs w:val="24"/>
          <w:lang w:val="en-US"/>
        </w:rPr>
        <w:t>Projects Financing</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 xml:space="preserve">A sum of Rs 14,660,000 was received from the Food Security Fund (Mauritius) in 2013, bringing the total contribution to Rs 81,009,458. The amount spent in 2013 was </w:t>
      </w:r>
      <w:r w:rsidR="00F32FCD">
        <w:rPr>
          <w:rFonts w:eastAsia="Calibri"/>
          <w:szCs w:val="24"/>
          <w:lang w:val="en-US"/>
        </w:rPr>
        <w:br/>
      </w:r>
      <w:r w:rsidRPr="007909F0">
        <w:rPr>
          <w:rFonts w:eastAsia="Calibri"/>
          <w:szCs w:val="24"/>
          <w:lang w:val="en-US"/>
        </w:rPr>
        <w:t xml:space="preserve">Rs 26,722,479, bringing the total expenditure for Food Security Fund projects to </w:t>
      </w:r>
      <w:r w:rsidR="00F32FCD">
        <w:rPr>
          <w:rFonts w:eastAsia="Calibri"/>
          <w:szCs w:val="24"/>
          <w:lang w:val="en-US"/>
        </w:rPr>
        <w:br/>
      </w:r>
      <w:r w:rsidRPr="007909F0">
        <w:rPr>
          <w:rFonts w:eastAsia="Calibri"/>
          <w:szCs w:val="24"/>
          <w:lang w:val="en-US"/>
        </w:rPr>
        <w:t xml:space="preserve">Rs 94,711,023. An amount of Rs 16,180,764 was financed by RRA for the project “Construction of Slaughter House”. </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Two on-going and two new projects have been reviewed as follows:</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p>
    <w:p w:rsidR="0000691A" w:rsidRPr="007909F0" w:rsidRDefault="0090103C" w:rsidP="002B1576">
      <w:pPr>
        <w:jc w:val="both"/>
        <w:rPr>
          <w:rFonts w:eastAsia="Calibri"/>
          <w:b/>
          <w:i/>
          <w:szCs w:val="24"/>
          <w:lang w:val="en-US"/>
        </w:rPr>
      </w:pPr>
      <w:r>
        <w:rPr>
          <w:rFonts w:eastAsia="Calibri"/>
          <w:b/>
          <w:i/>
          <w:szCs w:val="24"/>
          <w:lang w:val="en-US"/>
        </w:rPr>
        <w:t>3.9.2</w:t>
      </w:r>
      <w:r w:rsidR="004A483D">
        <w:rPr>
          <w:rFonts w:eastAsia="Calibri"/>
          <w:b/>
          <w:i/>
          <w:szCs w:val="24"/>
          <w:lang w:val="en-US"/>
        </w:rPr>
        <w:t xml:space="preserve"> </w:t>
      </w:r>
      <w:r>
        <w:rPr>
          <w:rFonts w:eastAsia="Calibri"/>
          <w:b/>
          <w:i/>
          <w:szCs w:val="24"/>
          <w:lang w:val="en-US"/>
        </w:rPr>
        <w:t xml:space="preserve"> </w:t>
      </w:r>
      <w:r w:rsidR="0000691A" w:rsidRPr="007909F0">
        <w:rPr>
          <w:rFonts w:eastAsia="Calibri"/>
          <w:b/>
          <w:i/>
          <w:szCs w:val="24"/>
          <w:lang w:val="en-US"/>
        </w:rPr>
        <w:t>Increase in Meat Production</w:t>
      </w:r>
    </w:p>
    <w:p w:rsidR="0000691A" w:rsidRDefault="0000691A" w:rsidP="002B1576">
      <w:pPr>
        <w:jc w:val="both"/>
        <w:rPr>
          <w:rFonts w:eastAsia="Calibri"/>
          <w:szCs w:val="24"/>
          <w:lang w:val="en-US"/>
        </w:rPr>
      </w:pPr>
    </w:p>
    <w:p w:rsidR="00F32FCD" w:rsidRPr="007909F0" w:rsidRDefault="00F32FCD" w:rsidP="002B1576">
      <w:pPr>
        <w:jc w:val="both"/>
        <w:rPr>
          <w:rFonts w:eastAsia="Calibri"/>
          <w:szCs w:val="24"/>
          <w:lang w:val="en-US"/>
        </w:rPr>
      </w:pPr>
    </w:p>
    <w:p w:rsidR="0000691A" w:rsidRPr="007909F0" w:rsidRDefault="0000691A" w:rsidP="002B1576">
      <w:pPr>
        <w:jc w:val="both"/>
        <w:rPr>
          <w:rFonts w:eastAsia="Calibri"/>
          <w:i/>
          <w:szCs w:val="24"/>
          <w:lang w:val="en-US"/>
        </w:rPr>
      </w:pPr>
      <w:r w:rsidRPr="007909F0">
        <w:rPr>
          <w:rFonts w:eastAsia="Calibri"/>
          <w:i/>
          <w:szCs w:val="24"/>
          <w:lang w:val="en-US"/>
        </w:rPr>
        <w:t>Construction of Slaughter House</w:t>
      </w:r>
    </w:p>
    <w:p w:rsidR="0000691A" w:rsidRPr="007909F0" w:rsidRDefault="0000691A" w:rsidP="002B1576">
      <w:pPr>
        <w:jc w:val="both"/>
        <w:rPr>
          <w:rFonts w:eastAsia="Calibri"/>
          <w:i/>
          <w:szCs w:val="24"/>
          <w:lang w:val="en-US"/>
        </w:rPr>
      </w:pPr>
    </w:p>
    <w:p w:rsidR="0000691A" w:rsidRDefault="0000691A" w:rsidP="002B1576">
      <w:pPr>
        <w:jc w:val="both"/>
        <w:rPr>
          <w:rFonts w:eastAsia="Calibri"/>
          <w:szCs w:val="24"/>
          <w:lang w:val="en-US"/>
        </w:rPr>
      </w:pPr>
      <w:r w:rsidRPr="007909F0">
        <w:rPr>
          <w:rFonts w:eastAsia="Calibri"/>
          <w:color w:val="000000"/>
          <w:szCs w:val="24"/>
          <w:lang w:val="en-US"/>
        </w:rPr>
        <w:t>At</w:t>
      </w:r>
      <w:r w:rsidRPr="007909F0">
        <w:rPr>
          <w:rFonts w:eastAsia="Calibri"/>
          <w:szCs w:val="24"/>
          <w:lang w:val="en-US"/>
        </w:rPr>
        <w:t xml:space="preserve"> paragraph 3.11.2 of the Audit Report for the year ended 31 December 2012, </w:t>
      </w:r>
      <w:r w:rsidR="00230DBC" w:rsidRPr="007909F0">
        <w:rPr>
          <w:rFonts w:eastAsia="Calibri"/>
          <w:szCs w:val="24"/>
          <w:lang w:val="en-US"/>
        </w:rPr>
        <w:t xml:space="preserve">mention </w:t>
      </w:r>
      <w:r w:rsidRPr="007909F0">
        <w:rPr>
          <w:rFonts w:eastAsia="Calibri"/>
          <w:szCs w:val="24"/>
          <w:lang w:val="en-US"/>
        </w:rPr>
        <w:t xml:space="preserve">was </w:t>
      </w:r>
      <w:r w:rsidR="00230DBC">
        <w:rPr>
          <w:rFonts w:eastAsia="Calibri"/>
          <w:szCs w:val="24"/>
          <w:lang w:val="en-US"/>
        </w:rPr>
        <w:t xml:space="preserve">made </w:t>
      </w:r>
      <w:r w:rsidRPr="007909F0">
        <w:rPr>
          <w:rFonts w:eastAsia="Calibri"/>
          <w:szCs w:val="24"/>
          <w:lang w:val="en-US"/>
        </w:rPr>
        <w:t xml:space="preserve">that in December 2011, contract for the construction of </w:t>
      </w:r>
      <w:r w:rsidR="00725B15">
        <w:rPr>
          <w:rFonts w:eastAsia="Calibri"/>
          <w:szCs w:val="24"/>
          <w:lang w:val="en-US"/>
        </w:rPr>
        <w:t xml:space="preserve">a </w:t>
      </w:r>
      <w:r w:rsidRPr="007909F0">
        <w:rPr>
          <w:rFonts w:eastAsia="Calibri"/>
          <w:szCs w:val="24"/>
          <w:lang w:val="en-US"/>
        </w:rPr>
        <w:t>Slaughter House - Phase I was awarded to a private company for an amount of Rs 56,212,886 (inclusive of VAT). Works started on 14 January 2012 and was scheduled to be completed on 13 January 2013. At the initial stage, it was decided that there would be a Phase II, comprising the construction of a Cattle Slaughter House which would cost an additional Rs 15 million. However, in April 2012</w:t>
      </w:r>
      <w:r w:rsidR="00725B15">
        <w:rPr>
          <w:rFonts w:eastAsia="Calibri"/>
          <w:szCs w:val="24"/>
          <w:lang w:val="en-US"/>
        </w:rPr>
        <w:t>,</w:t>
      </w:r>
      <w:r w:rsidRPr="007909F0">
        <w:rPr>
          <w:rFonts w:eastAsia="Calibri"/>
          <w:szCs w:val="24"/>
          <w:lang w:val="en-US"/>
        </w:rPr>
        <w:t xml:space="preserve"> it was decided to re-</w:t>
      </w:r>
      <w:proofErr w:type="spellStart"/>
      <w:r w:rsidRPr="007909F0">
        <w:rPr>
          <w:rFonts w:eastAsia="Calibri"/>
          <w:szCs w:val="24"/>
          <w:lang w:val="en-US"/>
        </w:rPr>
        <w:t>organise</w:t>
      </w:r>
      <w:proofErr w:type="spellEnd"/>
      <w:r w:rsidRPr="007909F0">
        <w:rPr>
          <w:rFonts w:eastAsia="Calibri"/>
          <w:szCs w:val="24"/>
          <w:lang w:val="en-US"/>
        </w:rPr>
        <w:t xml:space="preserve"> the space of Phase I to cater for the Cattle Slaughter House with a view to reducing cost of the whole project. </w:t>
      </w:r>
    </w:p>
    <w:p w:rsidR="00230DBC" w:rsidRPr="007909F0" w:rsidRDefault="00230DBC"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In June 2013</w:t>
      </w:r>
      <w:r w:rsidR="00725B15">
        <w:rPr>
          <w:rFonts w:eastAsia="Calibri"/>
          <w:szCs w:val="24"/>
          <w:lang w:val="en-US"/>
        </w:rPr>
        <w:t>,</w:t>
      </w:r>
      <w:r w:rsidRPr="007909F0">
        <w:rPr>
          <w:rFonts w:eastAsia="Calibri"/>
          <w:szCs w:val="24"/>
          <w:lang w:val="en-US"/>
        </w:rPr>
        <w:t xml:space="preserve"> the RRA has informed that an extension of time of 134 days starting 14 January 2013 was approved and that liquidated and ascertained damages would be applied according to the conditions of the contract. </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Detailed examination of this project was hampered by the fact that the Independent Commission Against Corruption has, on 20 March 2014, secured nine files relating to the construction and consultancy services of the Slaughter House, and the supply of equipment. According to notes of site meetings available at the Commission for Public Infrastructure, the completion dates have been extended several times due to slow execution of works. Further</w:t>
      </w:r>
      <w:r w:rsidR="00230DBC">
        <w:rPr>
          <w:rFonts w:eastAsia="Calibri"/>
          <w:szCs w:val="24"/>
          <w:lang w:val="en-US"/>
        </w:rPr>
        <w:t>,</w:t>
      </w:r>
      <w:r w:rsidRPr="007909F0">
        <w:rPr>
          <w:rFonts w:eastAsia="Calibri"/>
          <w:szCs w:val="24"/>
          <w:lang w:val="en-US"/>
        </w:rPr>
        <w:t xml:space="preserve"> extension of time was under consideration as </w:t>
      </w:r>
      <w:r w:rsidR="00230DBC">
        <w:rPr>
          <w:rFonts w:eastAsia="Calibri"/>
          <w:szCs w:val="24"/>
          <w:lang w:val="en-US"/>
        </w:rPr>
        <w:t>of</w:t>
      </w:r>
      <w:r w:rsidRPr="007909F0">
        <w:rPr>
          <w:rFonts w:eastAsia="Calibri"/>
          <w:szCs w:val="24"/>
          <w:lang w:val="en-US"/>
        </w:rPr>
        <w:t xml:space="preserve"> 31 March 2014. It could not be ascertained whether any liquidated damages were payable.</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 xml:space="preserve">According to records available, total payments made to the Contractor and for consultancy services amounted to Rs 44,169,585 and Rs 1,955,575 respectively as </w:t>
      </w:r>
      <w:r w:rsidR="00230DBC">
        <w:rPr>
          <w:rFonts w:eastAsia="Calibri"/>
          <w:szCs w:val="24"/>
          <w:lang w:val="en-US"/>
        </w:rPr>
        <w:t>of</w:t>
      </w:r>
      <w:r w:rsidRPr="007909F0">
        <w:rPr>
          <w:rFonts w:eastAsia="Calibri"/>
          <w:szCs w:val="24"/>
          <w:lang w:val="en-US"/>
        </w:rPr>
        <w:t xml:space="preserve"> 31 December 2013.</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 xml:space="preserve">Food Security Fund (Mauritius) was reluctant to release the necessary funds. Subsequently, re-allocation had to be made to </w:t>
      </w:r>
      <w:proofErr w:type="spellStart"/>
      <w:r w:rsidRPr="007909F0">
        <w:rPr>
          <w:rFonts w:eastAsia="Calibri"/>
          <w:szCs w:val="24"/>
          <w:lang w:val="en-US"/>
        </w:rPr>
        <w:t>Programme</w:t>
      </w:r>
      <w:proofErr w:type="spellEnd"/>
      <w:r w:rsidRPr="007909F0">
        <w:rPr>
          <w:rFonts w:eastAsia="Calibri"/>
          <w:szCs w:val="24"/>
          <w:lang w:val="en-US"/>
        </w:rPr>
        <w:t>/Item “</w:t>
      </w:r>
      <w:r w:rsidRPr="007909F0">
        <w:rPr>
          <w:rFonts w:eastAsia="Calibri"/>
          <w:i/>
          <w:szCs w:val="24"/>
          <w:lang w:val="en-US"/>
        </w:rPr>
        <w:t>Improvement to Livestock and Local Poultry”</w:t>
      </w:r>
      <w:r w:rsidRPr="007909F0">
        <w:rPr>
          <w:rFonts w:eastAsia="Calibri"/>
          <w:szCs w:val="24"/>
          <w:lang w:val="en-US"/>
        </w:rPr>
        <w:t xml:space="preserve"> of the Chief Commissioner’s Office (Agriculture) to be able to effect payments of Rs 6,342,023 and Rs 9,838,741 to the Contractor on 6 and 20 November 2013 respectively.</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On 18 December 2013</w:t>
      </w:r>
      <w:r w:rsidR="00A15EB2">
        <w:rPr>
          <w:rFonts w:eastAsia="Calibri"/>
          <w:szCs w:val="24"/>
          <w:lang w:val="en-US"/>
        </w:rPr>
        <w:t>,</w:t>
      </w:r>
      <w:r w:rsidRPr="007909F0">
        <w:rPr>
          <w:rFonts w:eastAsia="Calibri"/>
          <w:szCs w:val="24"/>
          <w:lang w:val="en-US"/>
        </w:rPr>
        <w:t xml:space="preserve"> an amount of Rs 14,660,000 was finally released by the Ministry of Agro-Industry and Food Security to RRA to meet commitments.</w:t>
      </w:r>
    </w:p>
    <w:p w:rsidR="00F32FCD" w:rsidRPr="007909F0" w:rsidRDefault="00F32FCD" w:rsidP="002B1576">
      <w:pPr>
        <w:jc w:val="both"/>
        <w:rPr>
          <w:rFonts w:eastAsia="Calibri"/>
          <w:szCs w:val="24"/>
          <w:lang w:val="en-US"/>
        </w:rPr>
      </w:pPr>
    </w:p>
    <w:p w:rsidR="00725B15" w:rsidRDefault="00725B15" w:rsidP="002B1576">
      <w:pPr>
        <w:jc w:val="both"/>
        <w:rPr>
          <w:rFonts w:eastAsia="Calibri"/>
          <w:b/>
          <w:i/>
          <w:szCs w:val="24"/>
          <w:lang w:val="en-US"/>
        </w:rPr>
      </w:pPr>
    </w:p>
    <w:p w:rsidR="0089293B" w:rsidRDefault="0089293B" w:rsidP="002B1576">
      <w:pPr>
        <w:jc w:val="both"/>
        <w:rPr>
          <w:rFonts w:eastAsia="Calibri"/>
          <w:b/>
          <w:i/>
          <w:szCs w:val="24"/>
          <w:lang w:val="en-US"/>
        </w:rPr>
      </w:pPr>
    </w:p>
    <w:p w:rsidR="0000691A" w:rsidRPr="007909F0" w:rsidRDefault="0090103C" w:rsidP="002B1576">
      <w:pPr>
        <w:jc w:val="both"/>
        <w:rPr>
          <w:rFonts w:eastAsia="Calibri"/>
          <w:b/>
          <w:i/>
          <w:szCs w:val="24"/>
          <w:lang w:val="en-US"/>
        </w:rPr>
      </w:pPr>
      <w:r>
        <w:rPr>
          <w:rFonts w:eastAsia="Calibri"/>
          <w:b/>
          <w:i/>
          <w:szCs w:val="24"/>
          <w:lang w:val="en-US"/>
        </w:rPr>
        <w:lastRenderedPageBreak/>
        <w:t>3.9.3</w:t>
      </w:r>
      <w:r w:rsidR="004A483D">
        <w:rPr>
          <w:rFonts w:eastAsia="Calibri"/>
          <w:b/>
          <w:i/>
          <w:szCs w:val="24"/>
          <w:lang w:val="en-US"/>
        </w:rPr>
        <w:t xml:space="preserve"> </w:t>
      </w:r>
      <w:r>
        <w:rPr>
          <w:rFonts w:eastAsia="Calibri"/>
          <w:b/>
          <w:i/>
          <w:szCs w:val="24"/>
          <w:lang w:val="en-US"/>
        </w:rPr>
        <w:t xml:space="preserve"> </w:t>
      </w:r>
      <w:proofErr w:type="spellStart"/>
      <w:r w:rsidR="0000691A" w:rsidRPr="007909F0">
        <w:rPr>
          <w:rFonts w:eastAsia="Calibri"/>
          <w:b/>
          <w:i/>
          <w:szCs w:val="24"/>
          <w:lang w:val="en-US"/>
        </w:rPr>
        <w:t>Emphasising</w:t>
      </w:r>
      <w:proofErr w:type="spellEnd"/>
      <w:r w:rsidR="0000691A" w:rsidRPr="007909F0">
        <w:rPr>
          <w:rFonts w:eastAsia="Calibri"/>
          <w:b/>
          <w:i/>
          <w:szCs w:val="24"/>
          <w:lang w:val="en-US"/>
        </w:rPr>
        <w:t xml:space="preserve"> on Capacity Building to enhance the Agro Industry Sector</w:t>
      </w:r>
    </w:p>
    <w:p w:rsidR="0000691A" w:rsidRDefault="0000691A" w:rsidP="002B1576">
      <w:pPr>
        <w:jc w:val="both"/>
        <w:rPr>
          <w:rFonts w:eastAsia="Calibri"/>
          <w:szCs w:val="24"/>
          <w:lang w:val="en-US"/>
        </w:rPr>
      </w:pPr>
    </w:p>
    <w:p w:rsidR="00F32FCD" w:rsidRPr="007909F0" w:rsidRDefault="00F32FCD" w:rsidP="002B1576">
      <w:pPr>
        <w:jc w:val="both"/>
        <w:rPr>
          <w:rFonts w:eastAsia="Calibri"/>
          <w:szCs w:val="24"/>
          <w:lang w:val="en-US"/>
        </w:rPr>
      </w:pPr>
    </w:p>
    <w:p w:rsidR="0000691A" w:rsidRPr="007909F0" w:rsidRDefault="0000691A" w:rsidP="002B1576">
      <w:pPr>
        <w:jc w:val="both"/>
        <w:rPr>
          <w:rFonts w:eastAsia="Calibri"/>
          <w:i/>
          <w:szCs w:val="24"/>
          <w:lang w:val="en-US"/>
        </w:rPr>
      </w:pPr>
      <w:r w:rsidRPr="007909F0">
        <w:rPr>
          <w:rFonts w:eastAsia="Calibri"/>
          <w:i/>
          <w:szCs w:val="24"/>
          <w:lang w:val="en-US"/>
        </w:rPr>
        <w:t xml:space="preserve">Setting up of Mini Laboratories in </w:t>
      </w:r>
      <w:proofErr w:type="spellStart"/>
      <w:r w:rsidRPr="007909F0">
        <w:rPr>
          <w:rFonts w:eastAsia="Calibri"/>
          <w:i/>
          <w:szCs w:val="24"/>
          <w:lang w:val="en-US"/>
        </w:rPr>
        <w:t>Rodrigues</w:t>
      </w:r>
      <w:proofErr w:type="spellEnd"/>
      <w:r w:rsidRPr="007909F0">
        <w:rPr>
          <w:rFonts w:eastAsia="Calibri"/>
          <w:i/>
          <w:szCs w:val="24"/>
          <w:lang w:val="en-US"/>
        </w:rPr>
        <w:t xml:space="preserve"> – Project Value Rs 5 million</w:t>
      </w:r>
    </w:p>
    <w:p w:rsidR="0000691A" w:rsidRPr="007909F0" w:rsidRDefault="0000691A" w:rsidP="002B1576">
      <w:pPr>
        <w:jc w:val="both"/>
        <w:rPr>
          <w:rFonts w:eastAsia="Calibri"/>
          <w:color w:val="000000"/>
          <w:szCs w:val="24"/>
          <w:lang w:val="en-US"/>
        </w:rPr>
      </w:pPr>
    </w:p>
    <w:p w:rsidR="0000691A" w:rsidRPr="007909F0" w:rsidRDefault="0000691A" w:rsidP="002B1576">
      <w:pPr>
        <w:jc w:val="both"/>
        <w:rPr>
          <w:rFonts w:eastAsia="Calibri"/>
          <w:color w:val="0070C0"/>
          <w:szCs w:val="24"/>
          <w:lang w:val="en-US"/>
        </w:rPr>
      </w:pPr>
      <w:r w:rsidRPr="007909F0">
        <w:rPr>
          <w:rFonts w:eastAsia="Calibri"/>
          <w:color w:val="000000"/>
          <w:szCs w:val="24"/>
          <w:lang w:val="en-US"/>
        </w:rPr>
        <w:t>At</w:t>
      </w:r>
      <w:r w:rsidRPr="007909F0">
        <w:rPr>
          <w:rFonts w:eastAsia="Calibri"/>
          <w:szCs w:val="24"/>
          <w:lang w:val="en-US"/>
        </w:rPr>
        <w:t xml:space="preserve"> paragraph 3.12.3 of the Audit Report for the year ended 31 December 2012, I reported that the ex-Environment Building at Citronelle was found convenient to house the three mini laboratories, namely laboratory for testing soil, water, plants, pests and diseases, laboratory for testing of animal feed, fodder and silage, and laboratory for testing of agro processed products. In April 2012, laboratory equipment was delivered and commissioned at a revised cost of Rs 710,707. There were not enough qualified personnel to operate the three laboratories.</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The following were noted:</w:t>
      </w:r>
    </w:p>
    <w:p w:rsidR="0000691A" w:rsidRPr="007909F0" w:rsidRDefault="0000691A" w:rsidP="002B1576">
      <w:pPr>
        <w:jc w:val="both"/>
        <w:rPr>
          <w:rFonts w:eastAsia="Calibri"/>
          <w:szCs w:val="24"/>
          <w:lang w:val="en-US"/>
        </w:rPr>
      </w:pPr>
    </w:p>
    <w:p w:rsidR="0000691A" w:rsidRPr="007909F0" w:rsidRDefault="0000691A" w:rsidP="002B1576">
      <w:pPr>
        <w:numPr>
          <w:ilvl w:val="0"/>
          <w:numId w:val="9"/>
        </w:numPr>
        <w:spacing w:after="200"/>
        <w:ind w:left="360"/>
        <w:contextualSpacing/>
        <w:jc w:val="both"/>
        <w:rPr>
          <w:rFonts w:eastAsia="Calibri"/>
          <w:szCs w:val="24"/>
          <w:lang w:val="en-US"/>
        </w:rPr>
      </w:pPr>
      <w:r w:rsidRPr="007909F0">
        <w:rPr>
          <w:rFonts w:eastAsia="Calibri"/>
          <w:szCs w:val="24"/>
          <w:lang w:val="en-US"/>
        </w:rPr>
        <w:t>Since the setting up of the laboratories, only some basic tests were carried out. Although the laboratories were equipped to test finished products, same were not carried out.</w:t>
      </w:r>
    </w:p>
    <w:p w:rsidR="0000691A" w:rsidRPr="007909F0" w:rsidRDefault="0000691A" w:rsidP="002B1576">
      <w:pPr>
        <w:jc w:val="both"/>
        <w:rPr>
          <w:rFonts w:eastAsia="Calibri"/>
          <w:szCs w:val="24"/>
          <w:lang w:val="en-US"/>
        </w:rPr>
      </w:pPr>
    </w:p>
    <w:p w:rsidR="0000691A" w:rsidRPr="007909F0" w:rsidRDefault="0000691A" w:rsidP="002B1576">
      <w:pPr>
        <w:numPr>
          <w:ilvl w:val="0"/>
          <w:numId w:val="9"/>
        </w:numPr>
        <w:spacing w:after="200"/>
        <w:ind w:left="360"/>
        <w:contextualSpacing/>
        <w:jc w:val="both"/>
        <w:rPr>
          <w:rFonts w:eastAsia="Calibri"/>
          <w:szCs w:val="24"/>
          <w:lang w:val="en-US"/>
        </w:rPr>
      </w:pPr>
      <w:r w:rsidRPr="007909F0">
        <w:rPr>
          <w:rFonts w:eastAsia="Calibri"/>
          <w:szCs w:val="24"/>
          <w:lang w:val="en-US"/>
        </w:rPr>
        <w:t>Staffing problem as regards to the performance of tests was a major issue, although several Officers have received training to gain insight and exposure on the operation of the laboratories.</w:t>
      </w:r>
    </w:p>
    <w:p w:rsidR="0000691A" w:rsidRPr="007909F0" w:rsidRDefault="0000691A" w:rsidP="002B1576">
      <w:pPr>
        <w:jc w:val="both"/>
        <w:rPr>
          <w:rFonts w:eastAsia="Calibri"/>
          <w:szCs w:val="24"/>
          <w:lang w:val="en-US"/>
        </w:rPr>
      </w:pPr>
    </w:p>
    <w:p w:rsidR="0000691A" w:rsidRPr="007909F0" w:rsidRDefault="0000691A" w:rsidP="002B1576">
      <w:pPr>
        <w:numPr>
          <w:ilvl w:val="0"/>
          <w:numId w:val="9"/>
        </w:numPr>
        <w:spacing w:after="200"/>
        <w:ind w:left="360"/>
        <w:contextualSpacing/>
        <w:jc w:val="both"/>
        <w:rPr>
          <w:rFonts w:eastAsia="Calibri"/>
          <w:szCs w:val="24"/>
          <w:lang w:val="en-US"/>
        </w:rPr>
      </w:pPr>
      <w:r w:rsidRPr="007909F0">
        <w:rPr>
          <w:rFonts w:eastAsia="Calibri"/>
          <w:szCs w:val="24"/>
          <w:lang w:val="en-US"/>
        </w:rPr>
        <w:t xml:space="preserve">Consumables for the three laboratories </w:t>
      </w:r>
      <w:proofErr w:type="spellStart"/>
      <w:r w:rsidRPr="007909F0">
        <w:rPr>
          <w:rFonts w:eastAsia="Calibri"/>
          <w:szCs w:val="24"/>
          <w:lang w:val="en-US"/>
        </w:rPr>
        <w:t>totalling</w:t>
      </w:r>
      <w:proofErr w:type="spellEnd"/>
      <w:r w:rsidRPr="007909F0">
        <w:rPr>
          <w:rFonts w:eastAsia="Calibri"/>
          <w:szCs w:val="24"/>
          <w:lang w:val="en-US"/>
        </w:rPr>
        <w:t xml:space="preserve"> some Rs 115,000 were purchased in February 2013. These consumables were not taken on charge in </w:t>
      </w:r>
      <w:r w:rsidR="00725B15">
        <w:rPr>
          <w:rFonts w:eastAsia="Calibri"/>
          <w:szCs w:val="24"/>
          <w:lang w:val="en-US"/>
        </w:rPr>
        <w:t>S</w:t>
      </w:r>
      <w:r w:rsidRPr="007909F0">
        <w:rPr>
          <w:rFonts w:eastAsia="Calibri"/>
          <w:szCs w:val="24"/>
          <w:lang w:val="en-US"/>
        </w:rPr>
        <w:t xml:space="preserve">tore </w:t>
      </w:r>
      <w:r w:rsidR="00725B15">
        <w:rPr>
          <w:rFonts w:eastAsia="Calibri"/>
          <w:szCs w:val="24"/>
          <w:lang w:val="en-US"/>
        </w:rPr>
        <w:t>L</w:t>
      </w:r>
      <w:r w:rsidRPr="007909F0">
        <w:rPr>
          <w:rFonts w:eastAsia="Calibri"/>
          <w:szCs w:val="24"/>
          <w:lang w:val="en-US"/>
        </w:rPr>
        <w:t xml:space="preserve">edgers. As of </w:t>
      </w:r>
      <w:r w:rsidR="00A15EB2">
        <w:rPr>
          <w:rFonts w:eastAsia="Calibri"/>
          <w:szCs w:val="24"/>
          <w:lang w:val="en-US"/>
        </w:rPr>
        <w:br/>
      </w:r>
      <w:r w:rsidR="00230DBC">
        <w:rPr>
          <w:rFonts w:eastAsia="Calibri"/>
          <w:szCs w:val="24"/>
          <w:lang w:val="en-US"/>
        </w:rPr>
        <w:t xml:space="preserve">28 </w:t>
      </w:r>
      <w:r w:rsidRPr="007909F0">
        <w:rPr>
          <w:rFonts w:eastAsia="Calibri"/>
          <w:szCs w:val="24"/>
          <w:lang w:val="en-US"/>
        </w:rPr>
        <w:t>March 2014, almost all the consumables were found in their original state in the laboratories.</w:t>
      </w:r>
    </w:p>
    <w:p w:rsidR="0000691A" w:rsidRPr="007909F0" w:rsidRDefault="0000691A" w:rsidP="002B1576">
      <w:pPr>
        <w:ind w:left="360" w:hanging="360"/>
        <w:contextualSpacing/>
        <w:jc w:val="both"/>
        <w:rPr>
          <w:rFonts w:eastAsia="Calibri"/>
          <w:szCs w:val="24"/>
          <w:lang w:val="en-US"/>
        </w:rPr>
      </w:pPr>
    </w:p>
    <w:p w:rsidR="0000691A" w:rsidRPr="007909F0" w:rsidRDefault="0000691A" w:rsidP="002B1576">
      <w:pPr>
        <w:numPr>
          <w:ilvl w:val="0"/>
          <w:numId w:val="9"/>
        </w:numPr>
        <w:spacing w:after="200"/>
        <w:ind w:left="360"/>
        <w:contextualSpacing/>
        <w:jc w:val="both"/>
        <w:rPr>
          <w:rFonts w:eastAsia="Calibri"/>
          <w:szCs w:val="24"/>
          <w:lang w:val="en-US"/>
        </w:rPr>
      </w:pPr>
      <w:r w:rsidRPr="007909F0">
        <w:rPr>
          <w:rFonts w:eastAsia="Calibri"/>
          <w:szCs w:val="24"/>
          <w:lang w:val="en-US"/>
        </w:rPr>
        <w:t>‘Modus Operandi’ for the functioning of the laboratories has not yet been formulated.</w:t>
      </w:r>
    </w:p>
    <w:p w:rsidR="0000691A" w:rsidRPr="007909F0" w:rsidRDefault="0000691A" w:rsidP="002B1576">
      <w:pPr>
        <w:contextualSpacing/>
        <w:jc w:val="both"/>
        <w:rPr>
          <w:rFonts w:eastAsia="Calibri"/>
          <w:szCs w:val="24"/>
          <w:lang w:val="en-US"/>
        </w:rPr>
      </w:pPr>
    </w:p>
    <w:p w:rsidR="0000691A" w:rsidRPr="007909F0" w:rsidRDefault="0000691A" w:rsidP="002B1576">
      <w:pPr>
        <w:jc w:val="both"/>
        <w:rPr>
          <w:rFonts w:eastAsia="Calibri"/>
          <w:szCs w:val="24"/>
          <w:lang w:val="en-US"/>
        </w:rPr>
      </w:pPr>
    </w:p>
    <w:p w:rsidR="0000691A" w:rsidRPr="007909F0" w:rsidRDefault="0090103C" w:rsidP="002B1576">
      <w:pPr>
        <w:jc w:val="both"/>
        <w:rPr>
          <w:rFonts w:eastAsia="Calibri"/>
          <w:b/>
          <w:szCs w:val="24"/>
          <w:lang w:val="en-US"/>
        </w:rPr>
      </w:pPr>
      <w:r>
        <w:rPr>
          <w:rFonts w:eastAsia="Calibri"/>
          <w:b/>
          <w:i/>
          <w:szCs w:val="24"/>
          <w:lang w:val="en-US"/>
        </w:rPr>
        <w:t>3.9.4</w:t>
      </w:r>
      <w:r w:rsidR="004A483D">
        <w:rPr>
          <w:rFonts w:eastAsia="Calibri"/>
          <w:b/>
          <w:i/>
          <w:szCs w:val="24"/>
          <w:lang w:val="en-US"/>
        </w:rPr>
        <w:t xml:space="preserve"> </w:t>
      </w:r>
      <w:r>
        <w:rPr>
          <w:rFonts w:eastAsia="Calibri"/>
          <w:b/>
          <w:i/>
          <w:szCs w:val="24"/>
          <w:lang w:val="en-US"/>
        </w:rPr>
        <w:t xml:space="preserve"> </w:t>
      </w:r>
      <w:proofErr w:type="spellStart"/>
      <w:r w:rsidR="0000691A" w:rsidRPr="007909F0">
        <w:rPr>
          <w:rFonts w:eastAsia="Calibri"/>
          <w:b/>
          <w:i/>
          <w:szCs w:val="24"/>
          <w:lang w:val="en-US"/>
        </w:rPr>
        <w:t>Derocking</w:t>
      </w:r>
      <w:proofErr w:type="spellEnd"/>
      <w:r w:rsidR="0000691A" w:rsidRPr="007909F0">
        <w:rPr>
          <w:rFonts w:eastAsia="Calibri"/>
          <w:b/>
          <w:i/>
          <w:szCs w:val="24"/>
          <w:lang w:val="en-US"/>
        </w:rPr>
        <w:t xml:space="preserve"> and Provision of Drains and Terraces</w:t>
      </w:r>
    </w:p>
    <w:p w:rsidR="0000691A" w:rsidRDefault="0000691A" w:rsidP="002B1576">
      <w:pPr>
        <w:jc w:val="both"/>
        <w:rPr>
          <w:rFonts w:eastAsia="Calibri"/>
          <w:i/>
          <w:szCs w:val="24"/>
          <w:lang w:val="en-US"/>
        </w:rPr>
      </w:pPr>
    </w:p>
    <w:p w:rsidR="00F32FCD" w:rsidRPr="007909F0" w:rsidRDefault="00F32FCD" w:rsidP="002B1576">
      <w:pPr>
        <w:jc w:val="both"/>
        <w:rPr>
          <w:rFonts w:eastAsia="Calibri"/>
          <w:i/>
          <w:szCs w:val="24"/>
          <w:lang w:val="en-US"/>
        </w:rPr>
      </w:pPr>
    </w:p>
    <w:p w:rsidR="0000691A" w:rsidRPr="007909F0" w:rsidRDefault="0000691A" w:rsidP="002B1576">
      <w:pPr>
        <w:jc w:val="both"/>
        <w:rPr>
          <w:rFonts w:eastAsia="Calibri"/>
          <w:i/>
          <w:szCs w:val="24"/>
          <w:lang w:val="en-US"/>
        </w:rPr>
      </w:pPr>
      <w:r w:rsidRPr="007909F0">
        <w:rPr>
          <w:rFonts w:eastAsia="Calibri"/>
          <w:i/>
          <w:szCs w:val="24"/>
          <w:lang w:val="en-US"/>
        </w:rPr>
        <w:t xml:space="preserve">Breaking of Stones at </w:t>
      </w:r>
      <w:proofErr w:type="spellStart"/>
      <w:r w:rsidRPr="007909F0">
        <w:rPr>
          <w:rFonts w:eastAsia="Calibri"/>
          <w:i/>
          <w:szCs w:val="24"/>
          <w:lang w:val="en-US"/>
        </w:rPr>
        <w:t>Montagne</w:t>
      </w:r>
      <w:proofErr w:type="spellEnd"/>
      <w:r w:rsidRPr="007909F0">
        <w:rPr>
          <w:rFonts w:eastAsia="Calibri"/>
          <w:i/>
          <w:szCs w:val="24"/>
          <w:lang w:val="en-US"/>
        </w:rPr>
        <w:t xml:space="preserve"> </w:t>
      </w:r>
      <w:proofErr w:type="spellStart"/>
      <w:r w:rsidRPr="007909F0">
        <w:rPr>
          <w:rFonts w:eastAsia="Calibri"/>
          <w:i/>
          <w:szCs w:val="24"/>
          <w:lang w:val="en-US"/>
        </w:rPr>
        <w:t>Goyaves</w:t>
      </w:r>
      <w:proofErr w:type="spellEnd"/>
    </w:p>
    <w:p w:rsidR="0000691A" w:rsidRPr="007909F0" w:rsidRDefault="0000691A" w:rsidP="002B1576">
      <w:pPr>
        <w:jc w:val="both"/>
        <w:rPr>
          <w:rFonts w:eastAsia="Calibri"/>
          <w: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 xml:space="preserve">Request for Quotation (RFQ) was made to seven potential Contractors in June 2013 for the contract </w:t>
      </w:r>
      <w:r w:rsidRPr="00725B15">
        <w:rPr>
          <w:rFonts w:eastAsia="Calibri"/>
          <w:szCs w:val="24"/>
          <w:lang w:val="en-US"/>
        </w:rPr>
        <w:t xml:space="preserve">“Breaking of boulders into 250 to 300 mm diameter/size, transport and deposit the broken stone along contour line and terraces at Mt. </w:t>
      </w:r>
      <w:proofErr w:type="spellStart"/>
      <w:r w:rsidRPr="00725B15">
        <w:rPr>
          <w:rFonts w:eastAsia="Calibri"/>
          <w:szCs w:val="24"/>
          <w:lang w:val="en-US"/>
        </w:rPr>
        <w:t>Goyaves</w:t>
      </w:r>
      <w:proofErr w:type="spellEnd"/>
      <w:r w:rsidRPr="00725B15">
        <w:rPr>
          <w:rFonts w:eastAsia="Calibri"/>
          <w:szCs w:val="24"/>
          <w:lang w:val="en-US"/>
        </w:rPr>
        <w:t>/</w:t>
      </w:r>
      <w:proofErr w:type="spellStart"/>
      <w:r w:rsidRPr="00725B15">
        <w:rPr>
          <w:rFonts w:eastAsia="Calibri"/>
          <w:szCs w:val="24"/>
          <w:lang w:val="en-US"/>
        </w:rPr>
        <w:t>Baladirou</w:t>
      </w:r>
      <w:proofErr w:type="spellEnd"/>
      <w:r w:rsidRPr="00725B15">
        <w:rPr>
          <w:rFonts w:eastAsia="Calibri"/>
          <w:szCs w:val="24"/>
          <w:lang w:val="en-US"/>
        </w:rPr>
        <w:t>”</w:t>
      </w:r>
      <w:r w:rsidRPr="007909F0">
        <w:rPr>
          <w:rFonts w:eastAsia="Calibri"/>
          <w:szCs w:val="24"/>
          <w:lang w:val="en-US"/>
        </w:rPr>
        <w:t xml:space="preserve">. On 20 August 2013, the contract was awarded for the sum of Rs 920,000. The site was handed over to the Contractor on 12 September 2013 and works were due to start soon after. However, due to mechanical problems, the Contractor did not start works until 14 November 2013, after the grant of 30 working days of extension of time. </w:t>
      </w:r>
    </w:p>
    <w:p w:rsidR="0000691A" w:rsidRPr="007909F0" w:rsidRDefault="0000691A" w:rsidP="002B1576">
      <w:pPr>
        <w:jc w:val="both"/>
        <w:rPr>
          <w:rFonts w:eastAsia="Calibri"/>
          <w:szCs w:val="24"/>
          <w:lang w:val="en-US"/>
        </w:rPr>
      </w:pPr>
    </w:p>
    <w:p w:rsidR="0000691A" w:rsidRPr="007909F0" w:rsidRDefault="0000691A" w:rsidP="002B1576">
      <w:pPr>
        <w:numPr>
          <w:ilvl w:val="0"/>
          <w:numId w:val="10"/>
        </w:numPr>
        <w:spacing w:after="200"/>
        <w:ind w:left="360"/>
        <w:jc w:val="both"/>
        <w:rPr>
          <w:rFonts w:eastAsia="Calibri"/>
          <w:szCs w:val="24"/>
          <w:lang w:val="en-US"/>
        </w:rPr>
      </w:pPr>
      <w:r w:rsidRPr="007909F0">
        <w:rPr>
          <w:rFonts w:eastAsia="Calibri"/>
          <w:szCs w:val="24"/>
          <w:lang w:val="en-US"/>
        </w:rPr>
        <w:t xml:space="preserve">In the RFQ, no mention was made of the quantity of boulders that would be required for land terracing but the Departmental Tender Committee reported that it was estimated to be 2,000 cubic </w:t>
      </w:r>
      <w:proofErr w:type="spellStart"/>
      <w:r w:rsidRPr="007909F0">
        <w:rPr>
          <w:rFonts w:eastAsia="Calibri"/>
          <w:szCs w:val="24"/>
          <w:lang w:val="en-US"/>
        </w:rPr>
        <w:t>metres</w:t>
      </w:r>
      <w:proofErr w:type="spellEnd"/>
      <w:r w:rsidRPr="007909F0">
        <w:rPr>
          <w:rFonts w:eastAsia="Calibri"/>
          <w:szCs w:val="24"/>
          <w:lang w:val="en-US"/>
        </w:rPr>
        <w:t>.</w:t>
      </w:r>
    </w:p>
    <w:p w:rsidR="0000691A" w:rsidRPr="007909F0" w:rsidRDefault="0000691A" w:rsidP="002B1576">
      <w:pPr>
        <w:ind w:left="360"/>
        <w:jc w:val="both"/>
        <w:rPr>
          <w:rFonts w:eastAsia="Calibri"/>
          <w:szCs w:val="24"/>
          <w:lang w:val="en-US"/>
        </w:rPr>
      </w:pPr>
    </w:p>
    <w:p w:rsidR="0000691A" w:rsidRPr="007909F0" w:rsidRDefault="0000691A" w:rsidP="002B1576">
      <w:pPr>
        <w:numPr>
          <w:ilvl w:val="0"/>
          <w:numId w:val="10"/>
        </w:numPr>
        <w:spacing w:after="200"/>
        <w:ind w:left="360"/>
        <w:jc w:val="both"/>
        <w:rPr>
          <w:rFonts w:eastAsia="Calibri"/>
          <w:szCs w:val="24"/>
          <w:lang w:val="en-US"/>
        </w:rPr>
      </w:pPr>
      <w:r w:rsidRPr="007909F0">
        <w:rPr>
          <w:rFonts w:eastAsia="Calibri"/>
          <w:szCs w:val="24"/>
          <w:lang w:val="en-US"/>
        </w:rPr>
        <w:t xml:space="preserve">Some 1,400 cubic </w:t>
      </w:r>
      <w:proofErr w:type="spellStart"/>
      <w:r w:rsidRPr="007909F0">
        <w:rPr>
          <w:rFonts w:eastAsia="Calibri"/>
          <w:szCs w:val="24"/>
          <w:lang w:val="en-US"/>
        </w:rPr>
        <w:t>metres</w:t>
      </w:r>
      <w:proofErr w:type="spellEnd"/>
      <w:r w:rsidRPr="007909F0">
        <w:rPr>
          <w:rFonts w:eastAsia="Calibri"/>
          <w:szCs w:val="24"/>
          <w:lang w:val="en-US"/>
        </w:rPr>
        <w:t xml:space="preserve"> of boulders were reported to have been distributed to planters and that some 600 cubic </w:t>
      </w:r>
      <w:proofErr w:type="spellStart"/>
      <w:r w:rsidRPr="007909F0">
        <w:rPr>
          <w:rFonts w:eastAsia="Calibri"/>
          <w:szCs w:val="24"/>
          <w:lang w:val="en-US"/>
        </w:rPr>
        <w:t>metres</w:t>
      </w:r>
      <w:proofErr w:type="spellEnd"/>
      <w:r w:rsidRPr="007909F0">
        <w:rPr>
          <w:rFonts w:eastAsia="Calibri"/>
          <w:szCs w:val="24"/>
          <w:lang w:val="en-US"/>
        </w:rPr>
        <w:t xml:space="preserve"> have been left lying at the places where the breaking of </w:t>
      </w:r>
      <w:r w:rsidRPr="007909F0">
        <w:rPr>
          <w:rFonts w:eastAsia="Calibri"/>
          <w:szCs w:val="24"/>
          <w:lang w:val="en-US"/>
        </w:rPr>
        <w:lastRenderedPageBreak/>
        <w:t xml:space="preserve">stones was carried out. However, during a site visit effected at Mt. </w:t>
      </w:r>
      <w:proofErr w:type="spellStart"/>
      <w:r w:rsidRPr="007909F0">
        <w:rPr>
          <w:rFonts w:eastAsia="Calibri"/>
          <w:szCs w:val="24"/>
          <w:lang w:val="en-US"/>
        </w:rPr>
        <w:t>Goyaves</w:t>
      </w:r>
      <w:proofErr w:type="spellEnd"/>
      <w:r w:rsidRPr="007909F0">
        <w:rPr>
          <w:rFonts w:eastAsia="Calibri"/>
          <w:szCs w:val="24"/>
          <w:lang w:val="en-US"/>
        </w:rPr>
        <w:t xml:space="preserve"> and </w:t>
      </w:r>
      <w:proofErr w:type="spellStart"/>
      <w:r w:rsidRPr="007909F0">
        <w:rPr>
          <w:rFonts w:eastAsia="Calibri"/>
          <w:szCs w:val="24"/>
          <w:lang w:val="en-US"/>
        </w:rPr>
        <w:t>Baladirou</w:t>
      </w:r>
      <w:proofErr w:type="spellEnd"/>
      <w:r w:rsidRPr="007909F0">
        <w:rPr>
          <w:rFonts w:eastAsia="Calibri"/>
          <w:szCs w:val="24"/>
          <w:lang w:val="en-US"/>
        </w:rPr>
        <w:t xml:space="preserve"> on 8 April 2014, it was observed that no land terracing had been done although there were stacks of broken stones.</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On 13 December 2013</w:t>
      </w:r>
      <w:r w:rsidR="00725B15">
        <w:rPr>
          <w:rFonts w:eastAsia="Calibri"/>
          <w:szCs w:val="24"/>
          <w:lang w:val="en-US"/>
        </w:rPr>
        <w:t>,</w:t>
      </w:r>
      <w:r w:rsidRPr="007909F0">
        <w:rPr>
          <w:rFonts w:eastAsia="Calibri"/>
          <w:szCs w:val="24"/>
          <w:lang w:val="en-US"/>
        </w:rPr>
        <w:t xml:space="preserve"> a claim f</w:t>
      </w:r>
      <w:r w:rsidR="00725B15">
        <w:rPr>
          <w:rFonts w:eastAsia="Calibri"/>
          <w:szCs w:val="24"/>
          <w:lang w:val="en-US"/>
        </w:rPr>
        <w:t xml:space="preserve">or an amount of </w:t>
      </w:r>
      <w:r w:rsidRPr="007909F0">
        <w:rPr>
          <w:rFonts w:eastAsia="Calibri"/>
          <w:szCs w:val="24"/>
          <w:lang w:val="en-US"/>
        </w:rPr>
        <w:t>Rs 920,000, representing the full amount of the contract, was received from the Contractor. As of 8 April 2014</w:t>
      </w:r>
      <w:r w:rsidR="00725B15">
        <w:rPr>
          <w:rFonts w:eastAsia="Calibri"/>
          <w:szCs w:val="24"/>
          <w:lang w:val="en-US"/>
        </w:rPr>
        <w:t>,</w:t>
      </w:r>
      <w:r w:rsidRPr="007909F0">
        <w:rPr>
          <w:rFonts w:eastAsia="Calibri"/>
          <w:szCs w:val="24"/>
          <w:lang w:val="en-US"/>
        </w:rPr>
        <w:t xml:space="preserve"> the claim was not yet settled.</w:t>
      </w:r>
    </w:p>
    <w:p w:rsidR="0000691A" w:rsidRPr="007909F0" w:rsidRDefault="0000691A" w:rsidP="002B1576">
      <w:pPr>
        <w:jc w:val="both"/>
        <w:rPr>
          <w:rFonts w:eastAsia="Calibri"/>
          <w:i/>
          <w:szCs w:val="24"/>
          <w:lang w:val="en-US"/>
        </w:rPr>
      </w:pPr>
    </w:p>
    <w:p w:rsidR="0000691A" w:rsidRPr="007909F0" w:rsidRDefault="0000691A" w:rsidP="002B1576">
      <w:pPr>
        <w:jc w:val="both"/>
        <w:rPr>
          <w:rFonts w:eastAsia="Calibri"/>
          <w:szCs w:val="24"/>
          <w:lang w:val="en-US"/>
        </w:rPr>
      </w:pPr>
    </w:p>
    <w:p w:rsidR="0000691A" w:rsidRPr="007909F0" w:rsidRDefault="0090103C" w:rsidP="002B1576">
      <w:pPr>
        <w:jc w:val="both"/>
        <w:rPr>
          <w:rFonts w:eastAsia="Calibri"/>
          <w:b/>
          <w:i/>
          <w:szCs w:val="24"/>
          <w:lang w:val="en-US"/>
        </w:rPr>
      </w:pPr>
      <w:r>
        <w:rPr>
          <w:rFonts w:eastAsia="Calibri"/>
          <w:b/>
          <w:i/>
          <w:szCs w:val="24"/>
          <w:lang w:val="en-US"/>
        </w:rPr>
        <w:t xml:space="preserve">3.9.5 </w:t>
      </w:r>
      <w:r w:rsidR="004A483D">
        <w:rPr>
          <w:rFonts w:eastAsia="Calibri"/>
          <w:b/>
          <w:i/>
          <w:szCs w:val="24"/>
          <w:lang w:val="en-US"/>
        </w:rPr>
        <w:t xml:space="preserve"> </w:t>
      </w:r>
      <w:r w:rsidR="0000691A" w:rsidRPr="007909F0">
        <w:rPr>
          <w:rFonts w:eastAsia="Calibri"/>
          <w:b/>
          <w:i/>
          <w:szCs w:val="24"/>
          <w:lang w:val="en-US"/>
        </w:rPr>
        <w:t>Harvesting of Rainwater for Irrigation</w:t>
      </w:r>
    </w:p>
    <w:p w:rsidR="0000691A" w:rsidRDefault="0000691A" w:rsidP="002B1576">
      <w:pPr>
        <w:jc w:val="both"/>
        <w:rPr>
          <w:rFonts w:eastAsia="Calibri"/>
          <w:i/>
          <w:szCs w:val="24"/>
          <w:lang w:val="en-US"/>
        </w:rPr>
      </w:pPr>
    </w:p>
    <w:p w:rsidR="00F32FCD" w:rsidRPr="007909F0" w:rsidRDefault="00F32FCD" w:rsidP="002B1576">
      <w:pPr>
        <w:jc w:val="both"/>
        <w:rPr>
          <w:rFonts w:eastAsia="Calibri"/>
          <w:i/>
          <w:szCs w:val="24"/>
          <w:lang w:val="en-US"/>
        </w:rPr>
      </w:pPr>
    </w:p>
    <w:p w:rsidR="0000691A" w:rsidRPr="007909F0" w:rsidRDefault="0000691A" w:rsidP="002B1576">
      <w:pPr>
        <w:jc w:val="both"/>
        <w:rPr>
          <w:rFonts w:eastAsia="Calibri"/>
          <w:i/>
          <w:szCs w:val="24"/>
          <w:lang w:val="en-US"/>
        </w:rPr>
      </w:pPr>
      <w:r w:rsidRPr="007909F0">
        <w:rPr>
          <w:rFonts w:eastAsia="Calibri"/>
          <w:i/>
          <w:szCs w:val="24"/>
          <w:lang w:val="en-US"/>
        </w:rPr>
        <w:t xml:space="preserve">Harvesting of Rainwater at Roche Bon </w:t>
      </w:r>
      <w:proofErr w:type="spellStart"/>
      <w:r w:rsidRPr="007909F0">
        <w:rPr>
          <w:rFonts w:eastAsia="Calibri"/>
          <w:i/>
          <w:szCs w:val="24"/>
          <w:lang w:val="en-US"/>
        </w:rPr>
        <w:t>Dieu</w:t>
      </w:r>
      <w:proofErr w:type="spellEnd"/>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On 9 October 2013, a contract was awarded for the construction of a pond for rainwater harvesting, supply and fixing of approved geo-membrane layer, construction of inlet, outlet and overflow structure with pre-treatment facilities, and construction of perimeter boundary wall with provision of a 5-metre wide gate for an amount of Rs 7,327,720 (inclusive of VAT).</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 xml:space="preserve">The site was handed over to the Contractor on 12 November 2013 and works were due to start within seven days from the date of handing over of site, with completion date of </w:t>
      </w:r>
      <w:r w:rsidR="00F32FCD">
        <w:rPr>
          <w:rFonts w:eastAsia="Calibri"/>
          <w:szCs w:val="24"/>
          <w:lang w:val="en-US"/>
        </w:rPr>
        <w:br/>
      </w:r>
      <w:r w:rsidRPr="007909F0">
        <w:rPr>
          <w:rFonts w:eastAsia="Calibri"/>
          <w:szCs w:val="24"/>
          <w:lang w:val="en-US"/>
        </w:rPr>
        <w:t xml:space="preserve">24 March 2014. Works actually started on 2 December 2013. </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r w:rsidRPr="007909F0">
        <w:rPr>
          <w:rFonts w:eastAsia="Calibri"/>
          <w:szCs w:val="24"/>
          <w:lang w:val="en-US"/>
        </w:rPr>
        <w:t>During a site meeting held on 9 January 2014, the attention of the Contractor was drawn to the fact that one month delay was noted in excavation works and the Contractor was requested to catch up with delays. As of 8 April 2014, the geo-membrane layer had still not been installed. Total payments made to the Contractor amounted to Rs 2,025,187.</w:t>
      </w:r>
    </w:p>
    <w:p w:rsidR="0000691A" w:rsidRPr="007909F0" w:rsidRDefault="0000691A" w:rsidP="002B1576">
      <w:pPr>
        <w:jc w:val="both"/>
        <w:rPr>
          <w:rFonts w:eastAsia="Calibri"/>
          <w:szCs w:val="24"/>
          <w:lang w:val="en-US"/>
        </w:rPr>
      </w:pPr>
    </w:p>
    <w:p w:rsidR="0000691A" w:rsidRPr="007909F0" w:rsidRDefault="0000691A" w:rsidP="002B1576">
      <w:pPr>
        <w:jc w:val="both"/>
        <w:rPr>
          <w:rFonts w:eastAsia="Calibri"/>
          <w:szCs w:val="24"/>
          <w:lang w:val="en-US"/>
        </w:rPr>
      </w:pPr>
    </w:p>
    <w:p w:rsidR="00C44FDB" w:rsidRDefault="00C44FDB" w:rsidP="002B1576">
      <w:pPr>
        <w:rPr>
          <w:rFonts w:eastAsia="Calibri"/>
          <w:b/>
          <w:szCs w:val="24"/>
          <w:lang w:val="en-US"/>
        </w:rPr>
        <w:sectPr w:rsidR="00C44FDB" w:rsidSect="00C44FDB">
          <w:footerReference w:type="default" r:id="rId16"/>
          <w:headerReference w:type="first" r:id="rId17"/>
          <w:pgSz w:w="11907" w:h="16839" w:code="9"/>
          <w:pgMar w:top="1440" w:right="1440" w:bottom="1440" w:left="1440" w:header="706" w:footer="432" w:gutter="0"/>
          <w:cols w:space="708"/>
          <w:titlePg/>
          <w:docGrid w:linePitch="326"/>
        </w:sectPr>
      </w:pPr>
    </w:p>
    <w:p w:rsidR="00F957A9" w:rsidRDefault="00F957A9" w:rsidP="002B1576">
      <w:pPr>
        <w:rPr>
          <w:rFonts w:eastAsia="Calibri"/>
          <w:b/>
          <w:szCs w:val="24"/>
          <w:lang w:val="en-US"/>
        </w:rPr>
      </w:pPr>
    </w:p>
    <w:p w:rsidR="00F957A9" w:rsidRDefault="00F957A9" w:rsidP="002B1576">
      <w:pPr>
        <w:rPr>
          <w:rFonts w:eastAsia="Calibri"/>
          <w:b/>
          <w:szCs w:val="24"/>
          <w:lang w:val="en-US"/>
        </w:rPr>
      </w:pPr>
    </w:p>
    <w:p w:rsidR="0090103C" w:rsidRPr="002823C6" w:rsidRDefault="0090103C" w:rsidP="002B1576">
      <w:pPr>
        <w:rPr>
          <w:rFonts w:eastAsia="Calibri"/>
          <w:b/>
          <w:szCs w:val="24"/>
          <w:lang w:val="en-US"/>
        </w:rPr>
      </w:pPr>
      <w:r>
        <w:rPr>
          <w:rFonts w:eastAsia="Calibri"/>
          <w:b/>
          <w:szCs w:val="24"/>
          <w:lang w:val="en-US"/>
        </w:rPr>
        <w:t xml:space="preserve">4.1 </w:t>
      </w:r>
      <w:r w:rsidR="004A483D">
        <w:rPr>
          <w:rFonts w:eastAsia="Calibri"/>
          <w:b/>
          <w:szCs w:val="24"/>
          <w:lang w:val="en-US"/>
        </w:rPr>
        <w:t xml:space="preserve"> </w:t>
      </w:r>
      <w:r w:rsidRPr="002823C6">
        <w:rPr>
          <w:rFonts w:eastAsia="Calibri"/>
          <w:b/>
          <w:szCs w:val="24"/>
          <w:lang w:val="en-US"/>
        </w:rPr>
        <w:t>Construction of Roads, Tr</w:t>
      </w:r>
      <w:r>
        <w:rPr>
          <w:rFonts w:eastAsia="Calibri"/>
          <w:b/>
          <w:szCs w:val="24"/>
          <w:lang w:val="en-US"/>
        </w:rPr>
        <w:t>ack Roads and other Civil Works</w:t>
      </w:r>
    </w:p>
    <w:p w:rsidR="0090103C" w:rsidRPr="002823C6" w:rsidRDefault="0090103C" w:rsidP="002B1576">
      <w:pPr>
        <w:jc w:val="center"/>
        <w:rPr>
          <w:rFonts w:eastAsia="Calibri"/>
          <w:b/>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A contract for the “Construction and Maintenance of Roads” was awarded on 28 March 2013 for the sum of Rs 94 million. 15 Works Orders were issued in respect of this contract for the sum of Rs 117 million.</w:t>
      </w:r>
    </w:p>
    <w:p w:rsidR="0090103C" w:rsidRPr="002823C6" w:rsidRDefault="0090103C" w:rsidP="002B1576">
      <w:pPr>
        <w:jc w:val="both"/>
        <w:rPr>
          <w:rFonts w:eastAsia="Calibri"/>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An amount of Rs 46 million was provided for 2013 in respect</w:t>
      </w:r>
      <w:r w:rsidRPr="002823C6">
        <w:rPr>
          <w:rFonts w:eastAsia="Calibri"/>
          <w:b/>
          <w:i/>
          <w:szCs w:val="24"/>
          <w:lang w:val="en-US"/>
        </w:rPr>
        <w:t xml:space="preserve"> </w:t>
      </w:r>
      <w:r w:rsidRPr="002823C6">
        <w:rPr>
          <w:rFonts w:eastAsia="Calibri"/>
          <w:szCs w:val="24"/>
          <w:lang w:val="en-US"/>
        </w:rPr>
        <w:t xml:space="preserve">of another road project from </w:t>
      </w:r>
      <w:proofErr w:type="spellStart"/>
      <w:r w:rsidRPr="002823C6">
        <w:rPr>
          <w:rFonts w:eastAsia="Calibri"/>
          <w:szCs w:val="24"/>
          <w:lang w:val="en-US"/>
        </w:rPr>
        <w:t>Brulé</w:t>
      </w:r>
      <w:proofErr w:type="spellEnd"/>
      <w:r w:rsidRPr="002823C6">
        <w:rPr>
          <w:rFonts w:eastAsia="Calibri"/>
          <w:szCs w:val="24"/>
          <w:lang w:val="en-US"/>
        </w:rPr>
        <w:t xml:space="preserve"> to Pointe </w:t>
      </w:r>
      <w:proofErr w:type="spellStart"/>
      <w:r w:rsidRPr="002823C6">
        <w:rPr>
          <w:rFonts w:eastAsia="Calibri"/>
          <w:szCs w:val="24"/>
          <w:lang w:val="en-US"/>
        </w:rPr>
        <w:t>Coton</w:t>
      </w:r>
      <w:proofErr w:type="spellEnd"/>
      <w:r w:rsidRPr="002823C6">
        <w:rPr>
          <w:rFonts w:eastAsia="Calibri"/>
          <w:szCs w:val="24"/>
          <w:lang w:val="en-US"/>
        </w:rPr>
        <w:t xml:space="preserve"> and actual payments were some Rs 96 million. </w:t>
      </w:r>
    </w:p>
    <w:p w:rsidR="0090103C" w:rsidRPr="002823C6" w:rsidRDefault="0090103C" w:rsidP="002B1576">
      <w:pPr>
        <w:jc w:val="both"/>
        <w:rPr>
          <w:b/>
          <w:bCs/>
          <w:szCs w:val="24"/>
          <w:lang w:val="en-US"/>
        </w:rPr>
      </w:pPr>
    </w:p>
    <w:p w:rsidR="0090103C" w:rsidRPr="002823C6" w:rsidRDefault="0090103C" w:rsidP="002B1576">
      <w:pPr>
        <w:jc w:val="both"/>
        <w:rPr>
          <w:rFonts w:eastAsia="Calibri"/>
          <w:i/>
          <w:szCs w:val="24"/>
          <w:lang w:val="en-US"/>
        </w:rPr>
      </w:pPr>
      <w:r w:rsidRPr="002823C6">
        <w:rPr>
          <w:rFonts w:eastAsia="Calibri"/>
          <w:szCs w:val="24"/>
          <w:lang w:val="en-US"/>
        </w:rPr>
        <w:t xml:space="preserve">The contract for the Construction of Track Roads and Minor Civil Works was awarded on </w:t>
      </w:r>
      <w:r w:rsidR="00A15EB2">
        <w:rPr>
          <w:rFonts w:eastAsia="Calibri"/>
          <w:szCs w:val="24"/>
          <w:lang w:val="en-US"/>
        </w:rPr>
        <w:br/>
      </w:r>
      <w:r w:rsidRPr="002823C6">
        <w:rPr>
          <w:rFonts w:eastAsia="Calibri"/>
          <w:szCs w:val="24"/>
          <w:lang w:val="en-US"/>
        </w:rPr>
        <w:t>26 March 2012 for a total sum of some Rs 24.5 million. Three Works Orders were issued during 2013 for the total sum of Rs 16 million.</w:t>
      </w:r>
    </w:p>
    <w:p w:rsidR="0090103C" w:rsidRPr="002823C6" w:rsidRDefault="0090103C" w:rsidP="002B1576">
      <w:pPr>
        <w:jc w:val="both"/>
        <w:rPr>
          <w:b/>
          <w:bCs/>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Total payments during 2013 in respect of the above projects amounted to some Rs 198.1 million.</w:t>
      </w:r>
    </w:p>
    <w:p w:rsidR="0090103C" w:rsidRPr="002823C6" w:rsidRDefault="0090103C" w:rsidP="002B1576">
      <w:pPr>
        <w:jc w:val="both"/>
        <w:rPr>
          <w:b/>
          <w:bCs/>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A review of the contract and a sample of Works Orders w</w:t>
      </w:r>
      <w:r>
        <w:rPr>
          <w:rFonts w:eastAsia="Calibri"/>
          <w:szCs w:val="24"/>
          <w:lang w:val="en-US"/>
        </w:rPr>
        <w:t>as</w:t>
      </w:r>
      <w:r w:rsidRPr="002823C6">
        <w:rPr>
          <w:rFonts w:eastAsia="Calibri"/>
          <w:szCs w:val="24"/>
          <w:lang w:val="en-US"/>
        </w:rPr>
        <w:t xml:space="preserve"> carried out and the following were noted:</w:t>
      </w:r>
    </w:p>
    <w:p w:rsidR="0090103C" w:rsidRDefault="0090103C" w:rsidP="002B1576">
      <w:pPr>
        <w:jc w:val="both"/>
        <w:rPr>
          <w:rFonts w:eastAsia="Calibri"/>
          <w:i/>
          <w:szCs w:val="24"/>
          <w:lang w:val="en-US"/>
        </w:rPr>
      </w:pPr>
    </w:p>
    <w:p w:rsidR="00F957A9" w:rsidRPr="002823C6" w:rsidRDefault="00F957A9" w:rsidP="002B1576">
      <w:pPr>
        <w:jc w:val="both"/>
        <w:rPr>
          <w:rFonts w:eastAsia="Calibri"/>
          <w:i/>
          <w:szCs w:val="24"/>
          <w:lang w:val="en-US"/>
        </w:rPr>
      </w:pPr>
    </w:p>
    <w:p w:rsidR="0090103C" w:rsidRPr="0090103C" w:rsidRDefault="0090103C" w:rsidP="002B1576">
      <w:pPr>
        <w:jc w:val="both"/>
        <w:rPr>
          <w:rFonts w:eastAsia="Calibri"/>
          <w:b/>
          <w:i/>
          <w:szCs w:val="24"/>
          <w:lang w:val="en-US"/>
        </w:rPr>
      </w:pPr>
      <w:r w:rsidRPr="0090103C">
        <w:rPr>
          <w:rFonts w:eastAsia="Calibri"/>
          <w:b/>
          <w:i/>
          <w:szCs w:val="24"/>
          <w:lang w:val="en-US"/>
        </w:rPr>
        <w:t>4.1.1</w:t>
      </w:r>
      <w:r w:rsidR="004A483D">
        <w:rPr>
          <w:rFonts w:eastAsia="Calibri"/>
          <w:b/>
          <w:i/>
          <w:szCs w:val="24"/>
          <w:lang w:val="en-US"/>
        </w:rPr>
        <w:t xml:space="preserve"> </w:t>
      </w:r>
      <w:r w:rsidRPr="0090103C">
        <w:rPr>
          <w:rFonts w:eastAsia="Calibri"/>
          <w:b/>
          <w:i/>
          <w:szCs w:val="24"/>
          <w:lang w:val="en-US"/>
        </w:rPr>
        <w:t xml:space="preserve"> Lack of Competitive Bids</w:t>
      </w:r>
    </w:p>
    <w:p w:rsidR="0090103C" w:rsidRPr="002823C6" w:rsidRDefault="0090103C" w:rsidP="002B1576">
      <w:pPr>
        <w:jc w:val="both"/>
        <w:rPr>
          <w:rFonts w:eastAsia="Calibri"/>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During the past four years, successive annual rate contracts</w:t>
      </w:r>
      <w:r w:rsidRPr="002823C6">
        <w:rPr>
          <w:rFonts w:eastAsia="Calibri"/>
          <w:b/>
          <w:szCs w:val="24"/>
          <w:lang w:val="en-US"/>
        </w:rPr>
        <w:t xml:space="preserve"> </w:t>
      </w:r>
      <w:r w:rsidRPr="002823C6">
        <w:rPr>
          <w:rFonts w:eastAsia="Calibri"/>
          <w:szCs w:val="24"/>
          <w:lang w:val="en-US"/>
        </w:rPr>
        <w:t xml:space="preserve">for a total amount of some Rs 431 million were awarded to the same Contractor for the construction, maintenance and upgrading of Roads in </w:t>
      </w:r>
      <w:proofErr w:type="spellStart"/>
      <w:r w:rsidRPr="002823C6">
        <w:rPr>
          <w:rFonts w:eastAsia="Calibri"/>
          <w:szCs w:val="24"/>
          <w:lang w:val="en-US"/>
        </w:rPr>
        <w:t>Rodrigues</w:t>
      </w:r>
      <w:proofErr w:type="spellEnd"/>
      <w:r w:rsidRPr="002823C6">
        <w:rPr>
          <w:rFonts w:eastAsia="Calibri"/>
          <w:szCs w:val="24"/>
          <w:lang w:val="en-US"/>
        </w:rPr>
        <w:t xml:space="preserve">. This Contractor was the only bidder who responded in each of these four tender exercises. In the absence of competitive bids, it is not possible to ascertain whether a competitive price has been obtained.  </w:t>
      </w:r>
    </w:p>
    <w:p w:rsidR="0090103C" w:rsidRPr="002823C6" w:rsidRDefault="0090103C" w:rsidP="002B1576">
      <w:pPr>
        <w:ind w:left="360"/>
        <w:jc w:val="both"/>
        <w:rPr>
          <w:rFonts w:eastAsia="Calibri"/>
          <w:szCs w:val="24"/>
          <w:lang w:val="en-US"/>
        </w:rPr>
      </w:pPr>
      <w:r w:rsidRPr="002823C6">
        <w:rPr>
          <w:rFonts w:eastAsia="Calibri"/>
          <w:szCs w:val="24"/>
          <w:lang w:val="en-US"/>
        </w:rPr>
        <w:t xml:space="preserve"> </w:t>
      </w:r>
    </w:p>
    <w:p w:rsidR="0090103C" w:rsidRPr="002823C6" w:rsidRDefault="0090103C" w:rsidP="002B1576">
      <w:pPr>
        <w:jc w:val="both"/>
        <w:rPr>
          <w:rFonts w:eastAsia="Calibri"/>
          <w:szCs w:val="24"/>
          <w:lang w:val="en-US"/>
        </w:rPr>
      </w:pPr>
      <w:r w:rsidRPr="002823C6">
        <w:rPr>
          <w:rFonts w:eastAsia="Calibri"/>
          <w:szCs w:val="24"/>
          <w:lang w:val="en-US"/>
        </w:rPr>
        <w:t xml:space="preserve">Already, in June 2013, the Commission reported to the Central Procurement Board (CPB) that yearly tender brings limited competition because of the difficulty for a bidder to invest heavily in an asphalt plant and be able to cover costs over one year only and recommended for a three-year contract to attract more bidders. </w:t>
      </w:r>
    </w:p>
    <w:p w:rsidR="0090103C" w:rsidRDefault="0090103C" w:rsidP="002B1576">
      <w:pPr>
        <w:jc w:val="both"/>
        <w:rPr>
          <w:rFonts w:eastAsia="Calibri"/>
          <w:szCs w:val="24"/>
          <w:lang w:val="en-US"/>
        </w:rPr>
      </w:pPr>
    </w:p>
    <w:p w:rsidR="00F957A9" w:rsidRPr="002823C6" w:rsidRDefault="00F957A9" w:rsidP="002B1576">
      <w:pPr>
        <w:jc w:val="both"/>
        <w:rPr>
          <w:rFonts w:eastAsia="Calibri"/>
          <w:szCs w:val="24"/>
          <w:lang w:val="en-US"/>
        </w:rPr>
      </w:pPr>
    </w:p>
    <w:p w:rsidR="0090103C" w:rsidRPr="0090103C" w:rsidRDefault="0090103C" w:rsidP="002B1576">
      <w:pPr>
        <w:spacing w:after="200"/>
        <w:jc w:val="both"/>
        <w:rPr>
          <w:rFonts w:eastAsia="Calibri"/>
          <w:b/>
          <w:i/>
          <w:szCs w:val="24"/>
          <w:lang w:val="en-US"/>
        </w:rPr>
      </w:pPr>
      <w:r w:rsidRPr="0090103C">
        <w:rPr>
          <w:rFonts w:eastAsia="Calibri"/>
          <w:b/>
          <w:i/>
          <w:szCs w:val="24"/>
          <w:lang w:val="en-US"/>
        </w:rPr>
        <w:t xml:space="preserve">4.1.2 </w:t>
      </w:r>
      <w:r w:rsidR="004A483D">
        <w:rPr>
          <w:rFonts w:eastAsia="Calibri"/>
          <w:b/>
          <w:i/>
          <w:szCs w:val="24"/>
          <w:lang w:val="en-US"/>
        </w:rPr>
        <w:t xml:space="preserve"> </w:t>
      </w:r>
      <w:r w:rsidRPr="0090103C">
        <w:rPr>
          <w:rFonts w:eastAsia="Calibri"/>
          <w:b/>
          <w:i/>
          <w:szCs w:val="24"/>
          <w:lang w:val="en-US"/>
        </w:rPr>
        <w:t xml:space="preserve">Works not </w:t>
      </w:r>
      <w:r w:rsidR="00230DBC">
        <w:rPr>
          <w:rFonts w:eastAsia="Calibri"/>
          <w:b/>
          <w:i/>
          <w:szCs w:val="24"/>
          <w:lang w:val="en-US"/>
        </w:rPr>
        <w:t>R</w:t>
      </w:r>
      <w:r w:rsidRPr="0090103C">
        <w:rPr>
          <w:rFonts w:eastAsia="Calibri"/>
          <w:b/>
          <w:i/>
          <w:szCs w:val="24"/>
          <w:lang w:val="en-US"/>
        </w:rPr>
        <w:t>elated to Roads Contracts</w:t>
      </w:r>
    </w:p>
    <w:p w:rsidR="0090103C" w:rsidRPr="002823C6" w:rsidRDefault="0090103C" w:rsidP="002B1576">
      <w:pPr>
        <w:jc w:val="both"/>
        <w:rPr>
          <w:bCs/>
          <w:szCs w:val="24"/>
          <w:lang w:val="en-US"/>
        </w:rPr>
      </w:pPr>
      <w:r w:rsidRPr="002823C6">
        <w:rPr>
          <w:rFonts w:eastAsia="Calibri"/>
          <w:szCs w:val="24"/>
          <w:lang w:val="en-US"/>
        </w:rPr>
        <w:t>Certain works entrusted to the Contractor were found to fall outside the scope of road works as defined in the bidding documents. The rates retained in the Roads contract were related to road works and bids were invited from Contractors meeting qualification and experience with respect to road works. However, four Works Orders issu</w:t>
      </w:r>
      <w:r w:rsidR="00230DBC">
        <w:rPr>
          <w:rFonts w:eastAsia="Calibri"/>
          <w:szCs w:val="24"/>
          <w:lang w:val="en-US"/>
        </w:rPr>
        <w:t>ed during 2013 and valued at Rs </w:t>
      </w:r>
      <w:r w:rsidRPr="002823C6">
        <w:rPr>
          <w:rFonts w:eastAsia="Calibri"/>
          <w:szCs w:val="24"/>
          <w:lang w:val="en-US"/>
        </w:rPr>
        <w:t xml:space="preserve">7,381,631 </w:t>
      </w:r>
      <w:r>
        <w:rPr>
          <w:bCs/>
          <w:szCs w:val="24"/>
          <w:lang w:val="en-US"/>
        </w:rPr>
        <w:t xml:space="preserve">were not related to the Road </w:t>
      </w:r>
      <w:r w:rsidRPr="002823C6">
        <w:rPr>
          <w:bCs/>
          <w:szCs w:val="24"/>
          <w:lang w:val="en-US"/>
        </w:rPr>
        <w:t>contracts</w:t>
      </w:r>
      <w:r w:rsidRPr="002823C6">
        <w:rPr>
          <w:b/>
          <w:bCs/>
          <w:szCs w:val="24"/>
          <w:lang w:val="en-US"/>
        </w:rPr>
        <w:t>.</w:t>
      </w:r>
      <w:r w:rsidRPr="002823C6">
        <w:rPr>
          <w:bCs/>
          <w:szCs w:val="24"/>
          <w:lang w:val="en-US"/>
        </w:rPr>
        <w:t xml:space="preserve"> These works comprised, among others, the fencing of football ground, basket ball ground, handrail and pedestrian security.</w:t>
      </w:r>
    </w:p>
    <w:p w:rsidR="0090103C" w:rsidRPr="002823C6" w:rsidRDefault="0090103C" w:rsidP="002B1576">
      <w:pPr>
        <w:ind w:left="360"/>
        <w:jc w:val="both"/>
        <w:rPr>
          <w:rFonts w:eastAsia="Calibri"/>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 xml:space="preserve">In the absence of competitive bids, a fair price might not have been obtained for these </w:t>
      </w:r>
      <w:r w:rsidR="00230DBC">
        <w:rPr>
          <w:rFonts w:eastAsia="Calibri"/>
          <w:szCs w:val="24"/>
          <w:lang w:val="en-US"/>
        </w:rPr>
        <w:t>Works Orders</w:t>
      </w:r>
      <w:r w:rsidRPr="002823C6">
        <w:rPr>
          <w:rFonts w:eastAsia="Calibri"/>
          <w:szCs w:val="24"/>
          <w:lang w:val="en-US"/>
        </w:rPr>
        <w:t>.</w:t>
      </w:r>
    </w:p>
    <w:p w:rsidR="0090103C" w:rsidRDefault="0090103C" w:rsidP="002B1576">
      <w:pPr>
        <w:ind w:left="360"/>
        <w:jc w:val="both"/>
        <w:rPr>
          <w:rFonts w:eastAsia="Calibri"/>
          <w:szCs w:val="24"/>
          <w:lang w:val="en-US"/>
        </w:rPr>
      </w:pPr>
    </w:p>
    <w:p w:rsidR="00F957A9" w:rsidRDefault="00F957A9" w:rsidP="002B1576">
      <w:pPr>
        <w:ind w:left="360"/>
        <w:jc w:val="both"/>
        <w:rPr>
          <w:rFonts w:eastAsia="Calibri"/>
          <w:szCs w:val="24"/>
          <w:lang w:val="en-US"/>
        </w:rPr>
      </w:pPr>
    </w:p>
    <w:p w:rsidR="00F957A9" w:rsidRPr="002823C6" w:rsidRDefault="00F957A9" w:rsidP="002B1576">
      <w:pPr>
        <w:ind w:left="360"/>
        <w:jc w:val="both"/>
        <w:rPr>
          <w:rFonts w:eastAsia="Calibri"/>
          <w:szCs w:val="24"/>
          <w:lang w:val="en-US"/>
        </w:rPr>
      </w:pPr>
    </w:p>
    <w:p w:rsidR="0090103C" w:rsidRPr="0090103C" w:rsidRDefault="0090103C" w:rsidP="002B1576">
      <w:pPr>
        <w:spacing w:after="200"/>
        <w:jc w:val="both"/>
        <w:rPr>
          <w:rFonts w:eastAsia="Calibri"/>
          <w:b/>
          <w:i/>
          <w:szCs w:val="24"/>
          <w:lang w:val="en-US"/>
        </w:rPr>
      </w:pPr>
      <w:r w:rsidRPr="0090103C">
        <w:rPr>
          <w:rFonts w:eastAsia="Calibri"/>
          <w:b/>
          <w:i/>
          <w:szCs w:val="24"/>
          <w:lang w:val="en-US"/>
        </w:rPr>
        <w:lastRenderedPageBreak/>
        <w:t xml:space="preserve">4.1.3 </w:t>
      </w:r>
      <w:r w:rsidR="004A483D">
        <w:rPr>
          <w:rFonts w:eastAsia="Calibri"/>
          <w:b/>
          <w:i/>
          <w:szCs w:val="24"/>
          <w:lang w:val="en-US"/>
        </w:rPr>
        <w:t xml:space="preserve"> </w:t>
      </w:r>
      <w:r w:rsidRPr="0090103C">
        <w:rPr>
          <w:rFonts w:eastAsia="Calibri"/>
          <w:b/>
          <w:i/>
          <w:szCs w:val="24"/>
          <w:lang w:val="en-US"/>
        </w:rPr>
        <w:t>Defects Liability Period</w:t>
      </w:r>
    </w:p>
    <w:p w:rsidR="0090103C" w:rsidRPr="002823C6" w:rsidRDefault="0090103C" w:rsidP="002B1576">
      <w:pPr>
        <w:jc w:val="both"/>
        <w:rPr>
          <w:rFonts w:eastAsia="Calibri"/>
          <w:i/>
          <w:szCs w:val="24"/>
          <w:lang w:val="en-US"/>
        </w:rPr>
      </w:pPr>
      <w:r w:rsidRPr="002823C6">
        <w:rPr>
          <w:rFonts w:eastAsia="Calibri"/>
          <w:szCs w:val="24"/>
          <w:lang w:val="en-US"/>
        </w:rPr>
        <w:t xml:space="preserve">Irrespective of the value of Work Orders, Defects Liability Period has generally been specified at six months from date of issue of Practical Completion Certificate.  </w:t>
      </w:r>
    </w:p>
    <w:p w:rsidR="0090103C" w:rsidRPr="002823C6" w:rsidRDefault="0090103C" w:rsidP="002B1576">
      <w:pPr>
        <w:autoSpaceDE w:val="0"/>
        <w:autoSpaceDN w:val="0"/>
        <w:adjustRightInd w:val="0"/>
        <w:ind w:left="360"/>
        <w:jc w:val="both"/>
        <w:rPr>
          <w:rFonts w:eastAsia="Calibri"/>
          <w:szCs w:val="24"/>
          <w:lang w:val="en-US"/>
        </w:rPr>
      </w:pPr>
    </w:p>
    <w:p w:rsidR="0090103C" w:rsidRPr="002823C6" w:rsidRDefault="0090103C" w:rsidP="002B1576">
      <w:pPr>
        <w:autoSpaceDE w:val="0"/>
        <w:autoSpaceDN w:val="0"/>
        <w:adjustRightInd w:val="0"/>
        <w:jc w:val="both"/>
        <w:rPr>
          <w:rFonts w:eastAsia="Calibri"/>
          <w:szCs w:val="24"/>
          <w:lang w:val="en-US"/>
        </w:rPr>
      </w:pPr>
      <w:r w:rsidRPr="002823C6">
        <w:rPr>
          <w:rFonts w:eastAsia="Calibri"/>
          <w:szCs w:val="24"/>
          <w:lang w:val="en-US"/>
        </w:rPr>
        <w:t xml:space="preserve">The Defects Liability </w:t>
      </w:r>
      <w:r w:rsidR="00230DBC">
        <w:rPr>
          <w:rFonts w:eastAsia="Calibri"/>
          <w:szCs w:val="24"/>
          <w:lang w:val="en-US"/>
        </w:rPr>
        <w:t>Period</w:t>
      </w:r>
      <w:r w:rsidRPr="002823C6">
        <w:rPr>
          <w:rFonts w:eastAsia="Calibri"/>
          <w:szCs w:val="24"/>
          <w:lang w:val="en-US"/>
        </w:rPr>
        <w:t xml:space="preserve"> should not be the same for all Works Orders. Where appropriate, depending on contract value, it should be extended for a period of 12 months, as usually, most defects in road works arise during the first year due to different climatic conditions. </w:t>
      </w:r>
    </w:p>
    <w:p w:rsidR="0090103C" w:rsidRDefault="0090103C" w:rsidP="002B1576">
      <w:pPr>
        <w:ind w:left="360"/>
        <w:jc w:val="both"/>
        <w:rPr>
          <w:bCs/>
          <w:szCs w:val="24"/>
          <w:lang w:val="en-US"/>
        </w:rPr>
      </w:pPr>
    </w:p>
    <w:p w:rsidR="00F957A9" w:rsidRPr="002823C6" w:rsidRDefault="00F957A9" w:rsidP="002B1576">
      <w:pPr>
        <w:ind w:left="360"/>
        <w:jc w:val="both"/>
        <w:rPr>
          <w:bCs/>
          <w:szCs w:val="24"/>
          <w:lang w:val="en-US"/>
        </w:rPr>
      </w:pPr>
    </w:p>
    <w:p w:rsidR="0090103C" w:rsidRPr="0090103C" w:rsidRDefault="0090103C" w:rsidP="002B1576">
      <w:pPr>
        <w:spacing w:after="200"/>
        <w:jc w:val="both"/>
        <w:rPr>
          <w:rFonts w:eastAsia="Calibri"/>
          <w:b/>
          <w:i/>
          <w:szCs w:val="24"/>
          <w:lang w:val="en-US"/>
        </w:rPr>
      </w:pPr>
      <w:r w:rsidRPr="0090103C">
        <w:rPr>
          <w:rFonts w:eastAsia="Calibri"/>
          <w:b/>
          <w:i/>
          <w:szCs w:val="24"/>
          <w:lang w:val="en-US"/>
        </w:rPr>
        <w:t xml:space="preserve">4.1.4 </w:t>
      </w:r>
      <w:r w:rsidR="004A483D">
        <w:rPr>
          <w:rFonts w:eastAsia="Calibri"/>
          <w:b/>
          <w:i/>
          <w:szCs w:val="24"/>
          <w:lang w:val="en-US"/>
        </w:rPr>
        <w:t xml:space="preserve"> </w:t>
      </w:r>
      <w:r w:rsidRPr="0090103C">
        <w:rPr>
          <w:rFonts w:eastAsia="Calibri"/>
          <w:b/>
          <w:i/>
          <w:szCs w:val="24"/>
          <w:lang w:val="en-US"/>
        </w:rPr>
        <w:t xml:space="preserve">Liquidated Damages  </w:t>
      </w:r>
    </w:p>
    <w:p w:rsidR="0090103C" w:rsidRPr="002823C6" w:rsidRDefault="0090103C" w:rsidP="002B1576">
      <w:pPr>
        <w:autoSpaceDE w:val="0"/>
        <w:autoSpaceDN w:val="0"/>
        <w:adjustRightInd w:val="0"/>
        <w:jc w:val="both"/>
        <w:rPr>
          <w:rFonts w:eastAsia="Calibri"/>
          <w:szCs w:val="24"/>
          <w:lang w:val="en-US"/>
        </w:rPr>
      </w:pPr>
      <w:r w:rsidRPr="002823C6">
        <w:rPr>
          <w:rFonts w:eastAsia="Calibri"/>
          <w:szCs w:val="24"/>
          <w:lang w:val="en-US"/>
        </w:rPr>
        <w:t>According to General Conditions of Contract, the rate of liquidated damages are set between 0.05 to 0.1 per cent of contract price per day</w:t>
      </w:r>
      <w:r>
        <w:rPr>
          <w:rFonts w:eastAsia="Calibri"/>
          <w:szCs w:val="24"/>
          <w:lang w:val="en-US"/>
        </w:rPr>
        <w:t>,</w:t>
      </w:r>
      <w:r w:rsidRPr="002823C6">
        <w:rPr>
          <w:rFonts w:eastAsia="Calibri"/>
          <w:szCs w:val="24"/>
          <w:lang w:val="en-US"/>
        </w:rPr>
        <w:t xml:space="preserve"> and the total amount should not exc</w:t>
      </w:r>
      <w:r w:rsidR="00B1148A">
        <w:rPr>
          <w:rFonts w:eastAsia="Calibri"/>
          <w:szCs w:val="24"/>
          <w:lang w:val="en-US"/>
        </w:rPr>
        <w:t>eed between five per cent to 10</w:t>
      </w:r>
      <w:r w:rsidRPr="002823C6">
        <w:rPr>
          <w:rFonts w:eastAsia="Calibri"/>
          <w:szCs w:val="24"/>
          <w:lang w:val="en-US"/>
        </w:rPr>
        <w:t xml:space="preserve"> per cent of contract price.</w:t>
      </w:r>
    </w:p>
    <w:p w:rsidR="0090103C" w:rsidRPr="002823C6" w:rsidRDefault="0090103C" w:rsidP="002B1576">
      <w:pPr>
        <w:ind w:left="360"/>
        <w:jc w:val="both"/>
        <w:rPr>
          <w:rFonts w:eastAsia="Calibri"/>
          <w:szCs w:val="24"/>
          <w:lang w:val="en-US"/>
        </w:rPr>
      </w:pPr>
    </w:p>
    <w:p w:rsidR="0090103C" w:rsidRDefault="0090103C" w:rsidP="002B1576">
      <w:pPr>
        <w:jc w:val="both"/>
        <w:rPr>
          <w:rFonts w:eastAsia="Calibri"/>
          <w:szCs w:val="24"/>
          <w:lang w:val="en-US"/>
        </w:rPr>
      </w:pPr>
      <w:r w:rsidRPr="002823C6">
        <w:rPr>
          <w:rFonts w:eastAsia="Calibri"/>
          <w:szCs w:val="24"/>
          <w:lang w:val="en-US"/>
        </w:rPr>
        <w:t>The rate of liquidated damages in respect of Works Orders was specified at Rs 12,000 per day up to a maximum amount of 10 per cent of each final Works Order value. Thus</w:t>
      </w:r>
      <w:r>
        <w:rPr>
          <w:rFonts w:eastAsia="Calibri"/>
          <w:szCs w:val="24"/>
          <w:lang w:val="en-US"/>
        </w:rPr>
        <w:t>,</w:t>
      </w:r>
      <w:r w:rsidRPr="002823C6">
        <w:rPr>
          <w:rFonts w:eastAsia="Calibri"/>
          <w:szCs w:val="24"/>
          <w:lang w:val="en-US"/>
        </w:rPr>
        <w:t xml:space="preserve"> the condition of contract as stipulated in the Standard Bidding Documents of works was not being </w:t>
      </w:r>
      <w:r w:rsidR="00230DBC">
        <w:rPr>
          <w:rFonts w:eastAsia="Calibri"/>
          <w:szCs w:val="24"/>
          <w:lang w:val="en-US"/>
        </w:rPr>
        <w:t>complied with.</w:t>
      </w:r>
    </w:p>
    <w:p w:rsidR="008024CD" w:rsidRDefault="008024CD" w:rsidP="002B1576">
      <w:pPr>
        <w:spacing w:after="200"/>
        <w:jc w:val="both"/>
        <w:rPr>
          <w:rFonts w:eastAsia="Calibri"/>
          <w:b/>
          <w:i/>
          <w:szCs w:val="24"/>
          <w:lang w:val="en-US"/>
        </w:rPr>
      </w:pPr>
    </w:p>
    <w:p w:rsidR="0090103C" w:rsidRPr="0090103C" w:rsidRDefault="0090103C" w:rsidP="002B1576">
      <w:pPr>
        <w:spacing w:after="200"/>
        <w:jc w:val="both"/>
        <w:rPr>
          <w:rFonts w:eastAsia="Calibri"/>
          <w:b/>
          <w:i/>
          <w:szCs w:val="24"/>
          <w:lang w:val="en-US"/>
        </w:rPr>
      </w:pPr>
      <w:r w:rsidRPr="0090103C">
        <w:rPr>
          <w:rFonts w:eastAsia="Calibri"/>
          <w:b/>
          <w:i/>
          <w:szCs w:val="24"/>
          <w:lang w:val="en-US"/>
        </w:rPr>
        <w:t xml:space="preserve">4.1.5 </w:t>
      </w:r>
      <w:r w:rsidR="004A483D">
        <w:rPr>
          <w:rFonts w:eastAsia="Calibri"/>
          <w:b/>
          <w:i/>
          <w:szCs w:val="24"/>
          <w:lang w:val="en-US"/>
        </w:rPr>
        <w:t xml:space="preserve"> </w:t>
      </w:r>
      <w:r w:rsidRPr="0090103C">
        <w:rPr>
          <w:rFonts w:eastAsia="Calibri"/>
          <w:b/>
          <w:i/>
          <w:szCs w:val="24"/>
          <w:lang w:val="en-US"/>
        </w:rPr>
        <w:t>Delay in Completion of Works</w:t>
      </w:r>
    </w:p>
    <w:p w:rsidR="0090103C" w:rsidRPr="002823C6" w:rsidRDefault="0090103C" w:rsidP="002B1576">
      <w:pPr>
        <w:jc w:val="both"/>
        <w:rPr>
          <w:rFonts w:eastAsia="Calibri"/>
          <w:szCs w:val="24"/>
          <w:lang w:val="en-US"/>
        </w:rPr>
      </w:pPr>
      <w:r w:rsidRPr="002823C6">
        <w:rPr>
          <w:rFonts w:eastAsia="Calibri"/>
          <w:szCs w:val="24"/>
          <w:lang w:val="en-US"/>
        </w:rPr>
        <w:t xml:space="preserve">Only two out of 15 Works Orders issued in 2013 were completed within the contractual completion dates, while in nine cases, works were completed with a delay ranging from 20 to 160 days. Four Works Orders which were due to be completed in 2013 were ongoing as of </w:t>
      </w:r>
      <w:r w:rsidR="00A15EB2">
        <w:rPr>
          <w:rFonts w:eastAsia="Calibri"/>
          <w:szCs w:val="24"/>
          <w:lang w:val="en-US"/>
        </w:rPr>
        <w:br/>
      </w:r>
      <w:r w:rsidRPr="002823C6">
        <w:rPr>
          <w:rFonts w:eastAsia="Calibri"/>
          <w:szCs w:val="24"/>
          <w:lang w:val="en-US"/>
        </w:rPr>
        <w:t xml:space="preserve">31 March 2014. </w:t>
      </w:r>
    </w:p>
    <w:p w:rsidR="0090103C" w:rsidRDefault="0090103C" w:rsidP="002B1576">
      <w:pPr>
        <w:ind w:left="360"/>
        <w:jc w:val="both"/>
        <w:rPr>
          <w:rFonts w:eastAsia="Calibri"/>
          <w:szCs w:val="24"/>
          <w:lang w:val="en-US"/>
        </w:rPr>
      </w:pPr>
    </w:p>
    <w:p w:rsidR="0090103C" w:rsidRPr="002823C6" w:rsidRDefault="0090103C" w:rsidP="002B1576">
      <w:pPr>
        <w:ind w:left="360"/>
        <w:jc w:val="both"/>
        <w:rPr>
          <w:rFonts w:eastAsia="Calibri"/>
          <w:szCs w:val="24"/>
          <w:lang w:val="en-US"/>
        </w:rPr>
      </w:pPr>
    </w:p>
    <w:p w:rsidR="0090103C" w:rsidRPr="0090103C" w:rsidRDefault="0090103C" w:rsidP="002B1576">
      <w:pPr>
        <w:spacing w:after="200"/>
        <w:jc w:val="both"/>
        <w:rPr>
          <w:rFonts w:eastAsia="Calibri"/>
          <w:b/>
          <w:i/>
          <w:szCs w:val="24"/>
          <w:lang w:val="en-US"/>
        </w:rPr>
      </w:pPr>
      <w:r w:rsidRPr="0090103C">
        <w:rPr>
          <w:rFonts w:eastAsia="Calibri"/>
          <w:b/>
          <w:i/>
          <w:szCs w:val="24"/>
          <w:lang w:val="en-US"/>
        </w:rPr>
        <w:t xml:space="preserve">4.1.6 </w:t>
      </w:r>
      <w:r w:rsidR="004A483D">
        <w:rPr>
          <w:rFonts w:eastAsia="Calibri"/>
          <w:b/>
          <w:i/>
          <w:szCs w:val="24"/>
          <w:lang w:val="en-US"/>
        </w:rPr>
        <w:t xml:space="preserve"> </w:t>
      </w:r>
      <w:r w:rsidRPr="0090103C">
        <w:rPr>
          <w:rFonts w:eastAsia="Calibri"/>
          <w:b/>
          <w:i/>
          <w:szCs w:val="24"/>
          <w:lang w:val="en-US"/>
        </w:rPr>
        <w:t>As-Built Drawings</w:t>
      </w:r>
    </w:p>
    <w:p w:rsidR="0090103C" w:rsidRPr="002823C6" w:rsidRDefault="0090103C" w:rsidP="002B1576">
      <w:pPr>
        <w:jc w:val="both"/>
        <w:rPr>
          <w:rFonts w:eastAsia="Calibri"/>
          <w:szCs w:val="24"/>
          <w:lang w:val="en-US"/>
        </w:rPr>
      </w:pPr>
      <w:r w:rsidRPr="002823C6">
        <w:rPr>
          <w:rFonts w:eastAsia="Calibri"/>
          <w:szCs w:val="24"/>
          <w:lang w:val="en-US"/>
        </w:rPr>
        <w:t xml:space="preserve">According to Bidding Documents for road works, “as-built drawings” should be submitted by the Contractor within 25 days from the issue of Practical Completion Certificate for each Works Order. It is also stated that the amount to be withheld for failing to produce ‘as built drawings’ is two per cent for each specific final Works Order value. </w:t>
      </w:r>
    </w:p>
    <w:p w:rsidR="0090103C" w:rsidRPr="002823C6" w:rsidRDefault="0090103C" w:rsidP="002B1576">
      <w:pPr>
        <w:ind w:left="360"/>
        <w:jc w:val="both"/>
        <w:rPr>
          <w:rFonts w:eastAsia="Calibri"/>
          <w:szCs w:val="24"/>
          <w:lang w:val="en-US"/>
        </w:rPr>
      </w:pPr>
    </w:p>
    <w:p w:rsidR="0090103C" w:rsidRPr="002823C6" w:rsidRDefault="0090103C" w:rsidP="002B1576">
      <w:pPr>
        <w:jc w:val="both"/>
        <w:rPr>
          <w:rFonts w:eastAsia="Calibri"/>
          <w:i/>
          <w:szCs w:val="24"/>
          <w:lang w:val="en-US"/>
        </w:rPr>
      </w:pPr>
      <w:r w:rsidRPr="002823C6">
        <w:rPr>
          <w:rFonts w:eastAsia="Calibri"/>
          <w:szCs w:val="24"/>
          <w:lang w:val="en-US"/>
        </w:rPr>
        <w:t xml:space="preserve">In respect of the two Works Orders that were completed during 2013, no deduction was made for failing to submit “as-built drawings”. </w:t>
      </w:r>
    </w:p>
    <w:p w:rsidR="0090103C" w:rsidRDefault="0090103C" w:rsidP="002B1576">
      <w:pPr>
        <w:ind w:left="360"/>
        <w:jc w:val="both"/>
        <w:rPr>
          <w:rFonts w:eastAsia="Calibri"/>
          <w:b/>
          <w:szCs w:val="24"/>
          <w:lang w:val="en-US"/>
        </w:rPr>
      </w:pPr>
    </w:p>
    <w:p w:rsidR="00F957A9" w:rsidRPr="002823C6" w:rsidRDefault="00F957A9" w:rsidP="002B1576">
      <w:pPr>
        <w:ind w:left="360"/>
        <w:jc w:val="both"/>
        <w:rPr>
          <w:rFonts w:eastAsia="Calibri"/>
          <w:b/>
          <w:szCs w:val="24"/>
          <w:lang w:val="en-US"/>
        </w:rPr>
      </w:pPr>
    </w:p>
    <w:p w:rsidR="0090103C" w:rsidRPr="0090103C" w:rsidRDefault="0090103C" w:rsidP="002B1576">
      <w:pPr>
        <w:spacing w:after="200"/>
        <w:jc w:val="both"/>
        <w:rPr>
          <w:rFonts w:eastAsia="Calibri"/>
          <w:b/>
          <w:i/>
          <w:szCs w:val="24"/>
          <w:lang w:val="en-US"/>
        </w:rPr>
      </w:pPr>
      <w:r w:rsidRPr="0090103C">
        <w:rPr>
          <w:rFonts w:eastAsia="Calibri"/>
          <w:b/>
          <w:i/>
          <w:szCs w:val="24"/>
          <w:lang w:val="en-US"/>
        </w:rPr>
        <w:t xml:space="preserve">4.1.7 </w:t>
      </w:r>
      <w:r w:rsidR="004A483D">
        <w:rPr>
          <w:rFonts w:eastAsia="Calibri"/>
          <w:b/>
          <w:i/>
          <w:szCs w:val="24"/>
          <w:lang w:val="en-US"/>
        </w:rPr>
        <w:t xml:space="preserve"> </w:t>
      </w:r>
      <w:r w:rsidRPr="0090103C">
        <w:rPr>
          <w:rFonts w:eastAsia="Calibri"/>
          <w:b/>
          <w:i/>
          <w:szCs w:val="24"/>
          <w:lang w:val="en-US"/>
        </w:rPr>
        <w:t>Site Survey at Planning and Design Stage</w:t>
      </w:r>
    </w:p>
    <w:p w:rsidR="0090103C" w:rsidRPr="002823C6" w:rsidRDefault="0090103C" w:rsidP="002B1576">
      <w:pPr>
        <w:jc w:val="both"/>
        <w:rPr>
          <w:bCs/>
          <w:szCs w:val="24"/>
          <w:lang w:val="en-US"/>
        </w:rPr>
      </w:pPr>
      <w:r w:rsidRPr="002823C6">
        <w:rPr>
          <w:bCs/>
          <w:szCs w:val="24"/>
          <w:lang w:val="en-US"/>
        </w:rPr>
        <w:t>In some road works, site surveys at design stage were inadequate as shown below:</w:t>
      </w:r>
    </w:p>
    <w:p w:rsidR="0090103C" w:rsidRPr="002823C6" w:rsidRDefault="0090103C" w:rsidP="002B1576">
      <w:pPr>
        <w:ind w:left="360"/>
        <w:jc w:val="both"/>
        <w:rPr>
          <w:rFonts w:eastAsia="Calibri"/>
          <w:b/>
          <w:i/>
          <w:szCs w:val="24"/>
          <w:lang w:val="en-US"/>
        </w:rPr>
      </w:pPr>
    </w:p>
    <w:p w:rsidR="0090103C" w:rsidRPr="002823C6" w:rsidRDefault="0090103C" w:rsidP="002B1576">
      <w:pPr>
        <w:numPr>
          <w:ilvl w:val="0"/>
          <w:numId w:val="24"/>
        </w:numPr>
        <w:spacing w:after="200"/>
        <w:ind w:left="360"/>
        <w:jc w:val="both"/>
        <w:rPr>
          <w:rFonts w:eastAsia="Calibri"/>
          <w:szCs w:val="24"/>
          <w:lang w:val="en-US"/>
        </w:rPr>
      </w:pPr>
      <w:r w:rsidRPr="002823C6">
        <w:rPr>
          <w:rFonts w:eastAsia="Calibri"/>
          <w:szCs w:val="24"/>
          <w:lang w:val="en-US"/>
        </w:rPr>
        <w:t>The</w:t>
      </w:r>
      <w:r w:rsidRPr="002823C6">
        <w:rPr>
          <w:rFonts w:eastAsia="Calibri"/>
          <w:i/>
          <w:szCs w:val="24"/>
          <w:lang w:val="en-US"/>
        </w:rPr>
        <w:t xml:space="preserve"> </w:t>
      </w:r>
      <w:r w:rsidRPr="002823C6">
        <w:rPr>
          <w:rFonts w:eastAsia="Calibri"/>
          <w:szCs w:val="24"/>
          <w:lang w:val="en-US"/>
        </w:rPr>
        <w:t>Works Order for the Construction of Road from Citronelle to Terre Rouge was issued on 14 June 2013 for an amount of Rs 59.8 million. Works started on 17 June and were to be completed on 17 August 2013. As of 31 May 2014, the project had not yet been co</w:t>
      </w:r>
      <w:r w:rsidR="00230DBC">
        <w:rPr>
          <w:rFonts w:eastAsia="Calibri"/>
          <w:szCs w:val="24"/>
          <w:lang w:val="en-US"/>
        </w:rPr>
        <w:t>mpleted due to land acquisition</w:t>
      </w:r>
      <w:r w:rsidRPr="002823C6">
        <w:rPr>
          <w:rFonts w:eastAsia="Calibri"/>
          <w:szCs w:val="24"/>
          <w:lang w:val="en-US"/>
        </w:rPr>
        <w:t xml:space="preserve"> issue and the Contractor was denied access to part of the site.</w:t>
      </w:r>
    </w:p>
    <w:p w:rsidR="0090103C" w:rsidRPr="002823C6" w:rsidRDefault="0090103C" w:rsidP="002B1576">
      <w:pPr>
        <w:ind w:left="360"/>
        <w:jc w:val="both"/>
        <w:rPr>
          <w:rFonts w:eastAsia="Calibri"/>
          <w:szCs w:val="24"/>
          <w:lang w:val="en-US"/>
        </w:rPr>
      </w:pPr>
      <w:r w:rsidRPr="002823C6">
        <w:rPr>
          <w:rFonts w:eastAsia="Calibri"/>
          <w:szCs w:val="24"/>
          <w:lang w:val="en-US"/>
        </w:rPr>
        <w:lastRenderedPageBreak/>
        <w:t>This issue should have been dealt with at design stage of the project</w:t>
      </w:r>
      <w:r>
        <w:rPr>
          <w:rFonts w:eastAsia="Calibri"/>
          <w:szCs w:val="24"/>
          <w:lang w:val="en-US"/>
        </w:rPr>
        <w:t>,</w:t>
      </w:r>
      <w:r w:rsidRPr="002823C6">
        <w:rPr>
          <w:rFonts w:eastAsia="Calibri"/>
          <w:szCs w:val="24"/>
          <w:lang w:val="en-US"/>
        </w:rPr>
        <w:t xml:space="preserve"> and not after award of contract. As of 31 March 2014, total payment amounted to Rs 46,524,243. </w:t>
      </w:r>
    </w:p>
    <w:p w:rsidR="0090103C" w:rsidRPr="002823C6" w:rsidRDefault="0090103C" w:rsidP="002B1576">
      <w:pPr>
        <w:jc w:val="both"/>
        <w:rPr>
          <w:rFonts w:eastAsia="Calibri"/>
          <w:szCs w:val="24"/>
          <w:lang w:val="en-US"/>
        </w:rPr>
      </w:pPr>
    </w:p>
    <w:p w:rsidR="0090103C" w:rsidRPr="002823C6" w:rsidRDefault="0090103C" w:rsidP="002B1576">
      <w:pPr>
        <w:numPr>
          <w:ilvl w:val="0"/>
          <w:numId w:val="25"/>
        </w:numPr>
        <w:spacing w:after="200"/>
        <w:jc w:val="both"/>
        <w:rPr>
          <w:rFonts w:eastAsia="Calibri"/>
          <w:i/>
          <w:szCs w:val="24"/>
          <w:lang w:val="en-US"/>
        </w:rPr>
      </w:pPr>
      <w:r w:rsidRPr="002823C6">
        <w:rPr>
          <w:rFonts w:eastAsia="Calibri"/>
          <w:szCs w:val="24"/>
          <w:lang w:val="en-US"/>
        </w:rPr>
        <w:t xml:space="preserve">The Commission awarded the contract for the Construction of Track Roads and Minor Civil Works on 26 March 2012 for a sum of some Rs 24.5 million. </w:t>
      </w:r>
    </w:p>
    <w:p w:rsidR="0090103C" w:rsidRPr="002823C6" w:rsidRDefault="0090103C" w:rsidP="002B1576">
      <w:pPr>
        <w:ind w:left="360"/>
        <w:jc w:val="both"/>
        <w:rPr>
          <w:rFonts w:eastAsia="Calibri"/>
          <w:szCs w:val="24"/>
          <w:lang w:val="en-US"/>
        </w:rPr>
      </w:pPr>
      <w:r w:rsidRPr="002823C6">
        <w:rPr>
          <w:rFonts w:eastAsia="Calibri"/>
          <w:szCs w:val="24"/>
          <w:lang w:val="en-US"/>
        </w:rPr>
        <w:t xml:space="preserve">No proper site surveys were carried out before awarding two of </w:t>
      </w:r>
      <w:r>
        <w:rPr>
          <w:rFonts w:eastAsia="Calibri"/>
          <w:szCs w:val="24"/>
          <w:lang w:val="en-US"/>
        </w:rPr>
        <w:t xml:space="preserve">the </w:t>
      </w:r>
      <w:r w:rsidRPr="002823C6">
        <w:rPr>
          <w:rFonts w:eastAsia="Calibri"/>
          <w:szCs w:val="24"/>
          <w:lang w:val="en-US"/>
        </w:rPr>
        <w:t>three Works Orders issued during 2013 as shown below:</w:t>
      </w:r>
    </w:p>
    <w:p w:rsidR="0090103C" w:rsidRPr="002823C6" w:rsidRDefault="0090103C" w:rsidP="002B1576">
      <w:pPr>
        <w:ind w:left="720"/>
        <w:jc w:val="both"/>
        <w:rPr>
          <w:rFonts w:eastAsia="Calibri"/>
          <w:szCs w:val="24"/>
          <w:lang w:val="en-US"/>
        </w:rPr>
      </w:pPr>
    </w:p>
    <w:p w:rsidR="0090103C" w:rsidRPr="002823C6" w:rsidRDefault="0090103C" w:rsidP="002B1576">
      <w:pPr>
        <w:numPr>
          <w:ilvl w:val="0"/>
          <w:numId w:val="33"/>
        </w:numPr>
        <w:spacing w:after="200"/>
        <w:jc w:val="both"/>
        <w:rPr>
          <w:rFonts w:eastAsia="Calibri"/>
          <w:szCs w:val="24"/>
          <w:lang w:val="en-US"/>
        </w:rPr>
      </w:pPr>
      <w:r w:rsidRPr="002823C6">
        <w:rPr>
          <w:rFonts w:eastAsia="Calibri"/>
          <w:szCs w:val="24"/>
          <w:lang w:val="en-US"/>
        </w:rPr>
        <w:t xml:space="preserve">A Works Order </w:t>
      </w:r>
      <w:r w:rsidR="00230DBC">
        <w:rPr>
          <w:rFonts w:eastAsia="Calibri"/>
          <w:szCs w:val="24"/>
          <w:lang w:val="en-US"/>
        </w:rPr>
        <w:t xml:space="preserve">CTR </w:t>
      </w:r>
      <w:r w:rsidRPr="002823C6">
        <w:rPr>
          <w:rFonts w:eastAsia="Calibri"/>
          <w:szCs w:val="24"/>
          <w:lang w:val="en-US"/>
        </w:rPr>
        <w:t>4/12 was due to be completed on 31 May 2013</w:t>
      </w:r>
      <w:r>
        <w:rPr>
          <w:rFonts w:eastAsia="Calibri"/>
          <w:szCs w:val="24"/>
          <w:lang w:val="en-US"/>
        </w:rPr>
        <w:t>,</w:t>
      </w:r>
      <w:r w:rsidRPr="002823C6">
        <w:rPr>
          <w:rFonts w:eastAsia="Calibri"/>
          <w:szCs w:val="24"/>
          <w:lang w:val="en-US"/>
        </w:rPr>
        <w:t xml:space="preserve"> but was practically completed on 16 July 2013 due to inaccurate survey regarding ownership of land. In May 2013, the RRA gave one month notice to a lessee to vacate his plot of land becaus</w:t>
      </w:r>
      <w:r>
        <w:rPr>
          <w:rFonts w:eastAsia="Calibri"/>
          <w:szCs w:val="24"/>
          <w:lang w:val="en-US"/>
        </w:rPr>
        <w:t xml:space="preserve">e </w:t>
      </w:r>
      <w:r w:rsidR="00230DBC">
        <w:rPr>
          <w:rFonts w:eastAsia="Calibri"/>
          <w:szCs w:val="24"/>
          <w:lang w:val="en-US"/>
        </w:rPr>
        <w:t xml:space="preserve">of the </w:t>
      </w:r>
      <w:r>
        <w:rPr>
          <w:rFonts w:eastAsia="Calibri"/>
          <w:szCs w:val="24"/>
          <w:lang w:val="en-US"/>
        </w:rPr>
        <w:t>alignment of track road.</w:t>
      </w:r>
    </w:p>
    <w:p w:rsidR="0090103C" w:rsidRPr="002823C6" w:rsidRDefault="0090103C" w:rsidP="002B1576">
      <w:pPr>
        <w:numPr>
          <w:ilvl w:val="0"/>
          <w:numId w:val="33"/>
        </w:numPr>
        <w:spacing w:after="200"/>
        <w:jc w:val="both"/>
        <w:rPr>
          <w:rFonts w:eastAsia="Calibri"/>
          <w:szCs w:val="24"/>
          <w:lang w:val="en-US"/>
        </w:rPr>
      </w:pPr>
      <w:r w:rsidRPr="002823C6">
        <w:rPr>
          <w:rFonts w:eastAsia="Calibri"/>
          <w:szCs w:val="24"/>
          <w:lang w:val="en-US"/>
        </w:rPr>
        <w:t xml:space="preserve">On 1 August 2013, some two weeks after the date of award of another Works Order, the Commission requested the Cadastre Section to enquire on </w:t>
      </w:r>
      <w:r w:rsidR="00230DBC">
        <w:rPr>
          <w:rFonts w:eastAsia="Calibri"/>
          <w:szCs w:val="24"/>
          <w:lang w:val="en-US"/>
        </w:rPr>
        <w:t xml:space="preserve">the </w:t>
      </w:r>
      <w:r w:rsidRPr="002823C6">
        <w:rPr>
          <w:rFonts w:eastAsia="Calibri"/>
          <w:szCs w:val="24"/>
          <w:lang w:val="en-US"/>
        </w:rPr>
        <w:t>encroachment on pri</w:t>
      </w:r>
      <w:r>
        <w:rPr>
          <w:rFonts w:eastAsia="Calibri"/>
          <w:szCs w:val="24"/>
          <w:lang w:val="en-US"/>
        </w:rPr>
        <w:t>vate land or residential lease</w:t>
      </w:r>
      <w:r w:rsidR="00230DBC">
        <w:rPr>
          <w:rFonts w:eastAsia="Calibri"/>
          <w:szCs w:val="24"/>
          <w:lang w:val="en-US"/>
        </w:rPr>
        <w:t>d land</w:t>
      </w:r>
      <w:r>
        <w:rPr>
          <w:rFonts w:eastAsia="Calibri"/>
          <w:szCs w:val="24"/>
          <w:lang w:val="en-US"/>
        </w:rPr>
        <w:t>.</w:t>
      </w:r>
    </w:p>
    <w:p w:rsidR="0090103C" w:rsidRPr="002823C6" w:rsidRDefault="0090103C" w:rsidP="002B1576">
      <w:pPr>
        <w:jc w:val="both"/>
        <w:rPr>
          <w:rFonts w:eastAsia="Calibri"/>
          <w:szCs w:val="24"/>
          <w:lang w:val="en-US"/>
        </w:rPr>
      </w:pPr>
      <w:r w:rsidRPr="002823C6">
        <w:rPr>
          <w:rFonts w:eastAsia="Calibri"/>
          <w:szCs w:val="24"/>
          <w:lang w:val="en-US"/>
        </w:rPr>
        <w:t>The effects of inadequate site surveys are delays in completion of works, and in some cases, increase in costs</w:t>
      </w:r>
      <w:r w:rsidR="00230DBC">
        <w:rPr>
          <w:rFonts w:eastAsia="Calibri"/>
          <w:szCs w:val="24"/>
          <w:lang w:val="en-US"/>
        </w:rPr>
        <w:t xml:space="preserve"> of Works Order</w:t>
      </w:r>
      <w:r w:rsidRPr="002823C6">
        <w:rPr>
          <w:rFonts w:eastAsia="Calibri"/>
          <w:szCs w:val="24"/>
          <w:lang w:val="en-US"/>
        </w:rPr>
        <w:t>.</w:t>
      </w:r>
    </w:p>
    <w:p w:rsidR="0090103C" w:rsidRDefault="0090103C" w:rsidP="002B1576">
      <w:pPr>
        <w:ind w:left="360"/>
        <w:jc w:val="both"/>
        <w:rPr>
          <w:rFonts w:eastAsia="Calibri"/>
          <w:i/>
          <w:szCs w:val="24"/>
          <w:lang w:val="en-US"/>
        </w:rPr>
      </w:pPr>
    </w:p>
    <w:p w:rsidR="00F957A9" w:rsidRPr="002823C6" w:rsidRDefault="00F957A9" w:rsidP="002B1576">
      <w:pPr>
        <w:ind w:left="360"/>
        <w:jc w:val="both"/>
        <w:rPr>
          <w:rFonts w:eastAsia="Calibri"/>
          <w:i/>
          <w:szCs w:val="24"/>
          <w:lang w:val="en-US"/>
        </w:rPr>
      </w:pPr>
    </w:p>
    <w:p w:rsidR="0090103C" w:rsidRPr="00986470" w:rsidRDefault="00986470" w:rsidP="002B1576">
      <w:pPr>
        <w:spacing w:after="200"/>
        <w:jc w:val="both"/>
        <w:rPr>
          <w:rFonts w:eastAsia="Calibri"/>
          <w:b/>
          <w:i/>
          <w:szCs w:val="24"/>
          <w:lang w:val="en-US"/>
        </w:rPr>
      </w:pPr>
      <w:r w:rsidRPr="00986470">
        <w:rPr>
          <w:rFonts w:eastAsia="Calibri"/>
          <w:b/>
          <w:i/>
          <w:szCs w:val="24"/>
          <w:lang w:val="en-US"/>
        </w:rPr>
        <w:t xml:space="preserve">4.1.8 </w:t>
      </w:r>
      <w:r w:rsidR="004A483D">
        <w:rPr>
          <w:rFonts w:eastAsia="Calibri"/>
          <w:b/>
          <w:i/>
          <w:szCs w:val="24"/>
          <w:lang w:val="en-US"/>
        </w:rPr>
        <w:t xml:space="preserve"> </w:t>
      </w:r>
      <w:r w:rsidR="0090103C" w:rsidRPr="00986470">
        <w:rPr>
          <w:rFonts w:eastAsia="Calibri"/>
          <w:b/>
          <w:i/>
          <w:szCs w:val="24"/>
          <w:lang w:val="en-US"/>
        </w:rPr>
        <w:t xml:space="preserve">Project Implementation </w:t>
      </w:r>
    </w:p>
    <w:p w:rsidR="0090103C" w:rsidRPr="002823C6" w:rsidRDefault="0090103C" w:rsidP="002B1576">
      <w:pPr>
        <w:jc w:val="both"/>
        <w:rPr>
          <w:rFonts w:eastAsia="Calibri"/>
          <w:szCs w:val="24"/>
          <w:lang w:val="en-US"/>
        </w:rPr>
      </w:pPr>
      <w:r w:rsidRPr="002823C6">
        <w:rPr>
          <w:rFonts w:eastAsia="Calibri"/>
          <w:szCs w:val="24"/>
          <w:lang w:val="en-US"/>
        </w:rPr>
        <w:t>Planning of the works to be effected during the year under review, and the budgeted amount required were inadequate.</w:t>
      </w:r>
    </w:p>
    <w:p w:rsidR="0090103C" w:rsidRPr="002823C6" w:rsidRDefault="0090103C" w:rsidP="002B1576">
      <w:pPr>
        <w:ind w:left="360"/>
        <w:jc w:val="both"/>
        <w:rPr>
          <w:rFonts w:eastAsia="Calibri"/>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 xml:space="preserve">A contract for the “Construction and Maintenance of Roads” was awarded on 28 March 2013 for the sum of Rs 94 million. 15 Works Orders were issued in respect of this contract for the sum of Rs 117 million. </w:t>
      </w:r>
    </w:p>
    <w:p w:rsidR="0090103C" w:rsidRPr="002823C6" w:rsidRDefault="0090103C" w:rsidP="002B1576">
      <w:pPr>
        <w:ind w:left="360"/>
        <w:jc w:val="both"/>
        <w:rPr>
          <w:rFonts w:eastAsia="Calibri"/>
          <w:szCs w:val="24"/>
          <w:lang w:val="en-US"/>
        </w:rPr>
      </w:pPr>
      <w:r w:rsidRPr="002823C6">
        <w:rPr>
          <w:rFonts w:eastAsia="Calibri"/>
          <w:szCs w:val="24"/>
          <w:lang w:val="en-US"/>
        </w:rPr>
        <w:t xml:space="preserve"> </w:t>
      </w:r>
    </w:p>
    <w:p w:rsidR="0090103C" w:rsidRPr="002823C6" w:rsidRDefault="0090103C" w:rsidP="002B1576">
      <w:pPr>
        <w:jc w:val="both"/>
        <w:rPr>
          <w:rFonts w:eastAsia="Calibri"/>
          <w:szCs w:val="24"/>
          <w:lang w:val="en-US"/>
        </w:rPr>
      </w:pPr>
      <w:r w:rsidRPr="002823C6">
        <w:rPr>
          <w:rFonts w:eastAsia="Calibri"/>
          <w:szCs w:val="24"/>
          <w:lang w:val="en-US"/>
        </w:rPr>
        <w:t>An amount of Rs 46 million was provided in respect</w:t>
      </w:r>
      <w:r w:rsidRPr="002823C6">
        <w:rPr>
          <w:rFonts w:eastAsia="Calibri"/>
          <w:b/>
          <w:i/>
          <w:szCs w:val="24"/>
          <w:lang w:val="en-US"/>
        </w:rPr>
        <w:t xml:space="preserve"> </w:t>
      </w:r>
      <w:r w:rsidRPr="002823C6">
        <w:rPr>
          <w:rFonts w:eastAsia="Calibri"/>
          <w:szCs w:val="24"/>
          <w:lang w:val="en-US"/>
        </w:rPr>
        <w:t xml:space="preserve">of another road project from </w:t>
      </w:r>
      <w:proofErr w:type="spellStart"/>
      <w:r w:rsidRPr="002823C6">
        <w:rPr>
          <w:rFonts w:eastAsia="Calibri"/>
          <w:szCs w:val="24"/>
          <w:lang w:val="en-US"/>
        </w:rPr>
        <w:t>Brulé</w:t>
      </w:r>
      <w:proofErr w:type="spellEnd"/>
      <w:r w:rsidRPr="002823C6">
        <w:rPr>
          <w:rFonts w:eastAsia="Calibri"/>
          <w:szCs w:val="24"/>
          <w:lang w:val="en-US"/>
        </w:rPr>
        <w:t xml:space="preserve"> to Pointe </w:t>
      </w:r>
      <w:proofErr w:type="spellStart"/>
      <w:r w:rsidRPr="002823C6">
        <w:rPr>
          <w:rFonts w:eastAsia="Calibri"/>
          <w:szCs w:val="24"/>
          <w:lang w:val="en-US"/>
        </w:rPr>
        <w:t>Coton</w:t>
      </w:r>
      <w:proofErr w:type="spellEnd"/>
      <w:r>
        <w:rPr>
          <w:rFonts w:eastAsia="Calibri"/>
          <w:szCs w:val="24"/>
          <w:lang w:val="en-US"/>
        </w:rPr>
        <w:t>,</w:t>
      </w:r>
      <w:r w:rsidRPr="002823C6">
        <w:rPr>
          <w:rFonts w:eastAsia="Calibri"/>
          <w:szCs w:val="24"/>
          <w:lang w:val="en-US"/>
        </w:rPr>
        <w:t xml:space="preserve"> and actual payments amounted to Rs 96 million.</w:t>
      </w:r>
    </w:p>
    <w:p w:rsidR="0090103C" w:rsidRPr="002823C6" w:rsidRDefault="0090103C" w:rsidP="002B1576">
      <w:pPr>
        <w:ind w:left="360"/>
        <w:jc w:val="both"/>
        <w:rPr>
          <w:b/>
          <w:bCs/>
          <w:szCs w:val="24"/>
          <w:lang w:val="en-US"/>
        </w:rPr>
      </w:pPr>
    </w:p>
    <w:p w:rsidR="0090103C" w:rsidRPr="002823C6" w:rsidRDefault="0090103C" w:rsidP="002B1576">
      <w:pPr>
        <w:jc w:val="both"/>
        <w:rPr>
          <w:bCs/>
          <w:szCs w:val="24"/>
          <w:lang w:val="en-US"/>
        </w:rPr>
      </w:pPr>
      <w:r w:rsidRPr="002823C6">
        <w:rPr>
          <w:bCs/>
          <w:szCs w:val="24"/>
          <w:lang w:val="en-US"/>
        </w:rPr>
        <w:t>Projects costs should as far as possible be contained within budgets.</w:t>
      </w:r>
    </w:p>
    <w:p w:rsidR="0090103C" w:rsidRDefault="0090103C" w:rsidP="002B1576">
      <w:pPr>
        <w:jc w:val="both"/>
        <w:rPr>
          <w:b/>
          <w:bCs/>
          <w:szCs w:val="24"/>
          <w:lang w:val="en-US"/>
        </w:rPr>
      </w:pPr>
    </w:p>
    <w:p w:rsidR="00F957A9" w:rsidRPr="002823C6" w:rsidRDefault="00F957A9" w:rsidP="002B1576">
      <w:pPr>
        <w:jc w:val="both"/>
        <w:rPr>
          <w:b/>
          <w:bCs/>
          <w:szCs w:val="24"/>
          <w:lang w:val="en-US"/>
        </w:rPr>
      </w:pPr>
    </w:p>
    <w:p w:rsidR="004A483D" w:rsidRPr="004A483D" w:rsidRDefault="00986470" w:rsidP="002B1576">
      <w:pPr>
        <w:spacing w:after="200"/>
        <w:jc w:val="both"/>
        <w:rPr>
          <w:rFonts w:eastAsia="Calibri"/>
          <w:b/>
          <w:i/>
          <w:szCs w:val="24"/>
          <w:lang w:val="en-US"/>
        </w:rPr>
      </w:pPr>
      <w:r w:rsidRPr="00986470">
        <w:rPr>
          <w:rFonts w:eastAsia="Calibri"/>
          <w:b/>
          <w:i/>
          <w:szCs w:val="24"/>
          <w:lang w:val="en-US"/>
        </w:rPr>
        <w:t xml:space="preserve">4.1.9 </w:t>
      </w:r>
      <w:r w:rsidR="004A483D">
        <w:rPr>
          <w:rFonts w:eastAsia="Calibri"/>
          <w:b/>
          <w:i/>
          <w:szCs w:val="24"/>
          <w:lang w:val="en-US"/>
        </w:rPr>
        <w:t xml:space="preserve"> </w:t>
      </w:r>
      <w:r w:rsidR="0090103C" w:rsidRPr="00986470">
        <w:rPr>
          <w:rFonts w:eastAsia="Calibri"/>
          <w:b/>
          <w:i/>
          <w:szCs w:val="24"/>
          <w:lang w:val="en-US"/>
        </w:rPr>
        <w:t>Non-Comp</w:t>
      </w:r>
      <w:r w:rsidR="004A483D">
        <w:rPr>
          <w:rFonts w:eastAsia="Calibri"/>
          <w:b/>
          <w:i/>
          <w:szCs w:val="24"/>
          <w:lang w:val="en-US"/>
        </w:rPr>
        <w:t>liance with Contract Conditions</w:t>
      </w:r>
    </w:p>
    <w:p w:rsidR="004A483D" w:rsidRDefault="004A483D" w:rsidP="002B1576">
      <w:pPr>
        <w:jc w:val="both"/>
        <w:rPr>
          <w:rFonts w:eastAsia="Calibri"/>
          <w:i/>
          <w:szCs w:val="24"/>
          <w:lang w:val="en-US"/>
        </w:rPr>
      </w:pPr>
    </w:p>
    <w:p w:rsidR="004A483D" w:rsidRPr="004A483D" w:rsidRDefault="0090103C" w:rsidP="002B1576">
      <w:pPr>
        <w:spacing w:after="200"/>
        <w:jc w:val="both"/>
        <w:rPr>
          <w:bCs/>
          <w:szCs w:val="24"/>
          <w:lang w:val="en-US"/>
        </w:rPr>
      </w:pPr>
      <w:r w:rsidRPr="004A483D">
        <w:rPr>
          <w:rFonts w:eastAsia="Calibri"/>
          <w:i/>
          <w:szCs w:val="24"/>
          <w:lang w:val="en-US"/>
        </w:rPr>
        <w:t>Handing over of Sites to Contractor</w:t>
      </w:r>
    </w:p>
    <w:p w:rsidR="0090103C" w:rsidRPr="002823C6" w:rsidRDefault="0090103C" w:rsidP="002B1576">
      <w:pPr>
        <w:spacing w:after="200"/>
        <w:jc w:val="both"/>
        <w:rPr>
          <w:bCs/>
          <w:szCs w:val="24"/>
          <w:lang w:val="en-US"/>
        </w:rPr>
      </w:pPr>
      <w:r w:rsidRPr="002823C6">
        <w:rPr>
          <w:rFonts w:eastAsia="Calibri"/>
          <w:szCs w:val="24"/>
          <w:lang w:val="en-US"/>
        </w:rPr>
        <w:t>In the absence of notes of site meetings, it could not be ascertained whether joint site visits were effected, and when the sites of works were handed over to the Contractor.</w:t>
      </w:r>
    </w:p>
    <w:p w:rsidR="004A483D" w:rsidRDefault="004A483D" w:rsidP="002B1576">
      <w:pPr>
        <w:jc w:val="both"/>
        <w:rPr>
          <w:rFonts w:eastAsia="Calibri"/>
          <w:i/>
          <w:szCs w:val="24"/>
          <w:lang w:val="en-US"/>
        </w:rPr>
      </w:pPr>
    </w:p>
    <w:p w:rsidR="004A483D" w:rsidRPr="004A483D" w:rsidRDefault="0090103C" w:rsidP="002B1576">
      <w:pPr>
        <w:spacing w:after="200"/>
        <w:jc w:val="both"/>
        <w:rPr>
          <w:bCs/>
          <w:i/>
          <w:szCs w:val="24"/>
          <w:lang w:val="en-US"/>
        </w:rPr>
      </w:pPr>
      <w:r w:rsidRPr="004A483D">
        <w:rPr>
          <w:rFonts w:eastAsia="Calibri"/>
          <w:i/>
          <w:szCs w:val="24"/>
          <w:lang w:val="en-US"/>
        </w:rPr>
        <w:t xml:space="preserve">Non-Submission of </w:t>
      </w:r>
      <w:proofErr w:type="spellStart"/>
      <w:r w:rsidRPr="004A483D">
        <w:rPr>
          <w:rFonts w:eastAsia="Calibri"/>
          <w:i/>
          <w:szCs w:val="24"/>
          <w:lang w:val="en-US"/>
        </w:rPr>
        <w:t>Programme</w:t>
      </w:r>
      <w:proofErr w:type="spellEnd"/>
      <w:r w:rsidRPr="004A483D">
        <w:rPr>
          <w:rFonts w:eastAsia="Calibri"/>
          <w:i/>
          <w:szCs w:val="24"/>
          <w:lang w:val="en-US"/>
        </w:rPr>
        <w:t xml:space="preserve"> of Works</w:t>
      </w:r>
    </w:p>
    <w:p w:rsidR="0090103C" w:rsidRPr="002823C6" w:rsidRDefault="0090103C" w:rsidP="002B1576">
      <w:pPr>
        <w:spacing w:after="200"/>
        <w:jc w:val="both"/>
        <w:rPr>
          <w:bCs/>
          <w:szCs w:val="24"/>
          <w:lang w:val="en-US"/>
        </w:rPr>
      </w:pPr>
      <w:r w:rsidRPr="002823C6">
        <w:rPr>
          <w:rFonts w:eastAsia="Calibri"/>
          <w:szCs w:val="24"/>
          <w:lang w:val="en-US"/>
        </w:rPr>
        <w:t xml:space="preserve">The Contractor failed to submit updated </w:t>
      </w:r>
      <w:proofErr w:type="spellStart"/>
      <w:r w:rsidRPr="002823C6">
        <w:rPr>
          <w:rFonts w:eastAsia="Calibri"/>
          <w:szCs w:val="24"/>
          <w:lang w:val="en-US"/>
        </w:rPr>
        <w:t>programme</w:t>
      </w:r>
      <w:proofErr w:type="spellEnd"/>
      <w:r w:rsidRPr="002823C6">
        <w:rPr>
          <w:rFonts w:eastAsia="Calibri"/>
          <w:szCs w:val="24"/>
          <w:lang w:val="en-US"/>
        </w:rPr>
        <w:t xml:space="preserve"> of works as required by Works Orders, and an amount of </w:t>
      </w:r>
      <w:r w:rsidRPr="002823C6">
        <w:rPr>
          <w:bCs/>
          <w:szCs w:val="24"/>
          <w:lang w:val="en-US"/>
        </w:rPr>
        <w:t xml:space="preserve">two per cent of each interim certificate was not withheld. </w:t>
      </w:r>
    </w:p>
    <w:p w:rsidR="004A483D" w:rsidRDefault="004A483D" w:rsidP="002B1576">
      <w:pPr>
        <w:spacing w:after="200"/>
        <w:jc w:val="both"/>
        <w:rPr>
          <w:bCs/>
          <w:i/>
          <w:szCs w:val="24"/>
          <w:lang w:val="en-US"/>
        </w:rPr>
      </w:pPr>
    </w:p>
    <w:p w:rsidR="004A483D" w:rsidRPr="004A483D" w:rsidRDefault="0090103C" w:rsidP="002B1576">
      <w:pPr>
        <w:spacing w:after="200"/>
        <w:jc w:val="both"/>
        <w:rPr>
          <w:b/>
          <w:bCs/>
          <w:i/>
          <w:szCs w:val="24"/>
          <w:lang w:val="en-US"/>
        </w:rPr>
      </w:pPr>
      <w:r w:rsidRPr="004A483D">
        <w:rPr>
          <w:bCs/>
          <w:i/>
          <w:szCs w:val="24"/>
          <w:lang w:val="en-US"/>
        </w:rPr>
        <w:lastRenderedPageBreak/>
        <w:t>Laboratory Tests</w:t>
      </w:r>
    </w:p>
    <w:p w:rsidR="0090103C" w:rsidRDefault="0090103C" w:rsidP="002B1576">
      <w:pPr>
        <w:spacing w:after="200"/>
        <w:jc w:val="both"/>
        <w:rPr>
          <w:bCs/>
          <w:szCs w:val="24"/>
          <w:lang w:val="en-US"/>
        </w:rPr>
      </w:pPr>
      <w:r w:rsidRPr="002823C6">
        <w:rPr>
          <w:bCs/>
          <w:szCs w:val="24"/>
          <w:lang w:val="en-US"/>
        </w:rPr>
        <w:t xml:space="preserve">In one of the </w:t>
      </w:r>
      <w:r>
        <w:rPr>
          <w:bCs/>
          <w:szCs w:val="24"/>
          <w:lang w:val="en-US"/>
        </w:rPr>
        <w:t>C</w:t>
      </w:r>
      <w:r w:rsidRPr="002823C6">
        <w:rPr>
          <w:bCs/>
          <w:szCs w:val="24"/>
          <w:lang w:val="en-US"/>
        </w:rPr>
        <w:t xml:space="preserve">lauses of a Contract, it is provided that </w:t>
      </w:r>
      <w:r w:rsidRPr="0069208E">
        <w:rPr>
          <w:bCs/>
          <w:szCs w:val="24"/>
          <w:lang w:val="en-US"/>
        </w:rPr>
        <w:t>“tests shall be carried out in an independent laboratory as approved by the employer”</w:t>
      </w:r>
      <w:r w:rsidRPr="002823C6">
        <w:rPr>
          <w:bCs/>
          <w:szCs w:val="24"/>
          <w:lang w:val="en-US"/>
        </w:rPr>
        <w:t>. However, tests were carried out at the Contractor’s laboratory to determine whether the works were up to required specifications and there was no appr</w:t>
      </w:r>
      <w:r w:rsidR="004A483D">
        <w:rPr>
          <w:bCs/>
          <w:szCs w:val="24"/>
          <w:lang w:val="en-US"/>
        </w:rPr>
        <w:t>oval of the Commission.</w:t>
      </w:r>
    </w:p>
    <w:p w:rsidR="004A483D" w:rsidRPr="002823C6" w:rsidRDefault="004A483D" w:rsidP="002B1576">
      <w:pPr>
        <w:jc w:val="both"/>
        <w:rPr>
          <w:bCs/>
          <w:szCs w:val="24"/>
          <w:lang w:val="en-US"/>
        </w:rPr>
      </w:pPr>
    </w:p>
    <w:p w:rsidR="0090103C" w:rsidRPr="00986470" w:rsidRDefault="00986470" w:rsidP="002B1576">
      <w:pPr>
        <w:spacing w:after="200"/>
        <w:jc w:val="both"/>
        <w:rPr>
          <w:b/>
          <w:bCs/>
          <w:i/>
          <w:szCs w:val="24"/>
          <w:lang w:val="en-US"/>
        </w:rPr>
      </w:pPr>
      <w:r w:rsidRPr="00986470">
        <w:rPr>
          <w:rFonts w:eastAsia="Calibri"/>
          <w:b/>
          <w:i/>
          <w:szCs w:val="24"/>
          <w:lang w:val="en-US"/>
        </w:rPr>
        <w:t xml:space="preserve">4.1.10 </w:t>
      </w:r>
      <w:r w:rsidR="004A483D">
        <w:rPr>
          <w:rFonts w:eastAsia="Calibri"/>
          <w:b/>
          <w:i/>
          <w:szCs w:val="24"/>
          <w:lang w:val="en-US"/>
        </w:rPr>
        <w:t xml:space="preserve"> </w:t>
      </w:r>
      <w:r w:rsidR="0090103C" w:rsidRPr="00986470">
        <w:rPr>
          <w:rFonts w:eastAsia="Calibri"/>
          <w:b/>
          <w:i/>
          <w:szCs w:val="24"/>
          <w:lang w:val="en-US"/>
        </w:rPr>
        <w:t xml:space="preserve">Construction of </w:t>
      </w:r>
      <w:proofErr w:type="spellStart"/>
      <w:r w:rsidR="0090103C" w:rsidRPr="00986470">
        <w:rPr>
          <w:rFonts w:eastAsia="Calibri"/>
          <w:b/>
          <w:i/>
          <w:szCs w:val="24"/>
          <w:lang w:val="en-US"/>
        </w:rPr>
        <w:t>Brulé</w:t>
      </w:r>
      <w:proofErr w:type="spellEnd"/>
      <w:r w:rsidR="0090103C" w:rsidRPr="00986470">
        <w:rPr>
          <w:rFonts w:eastAsia="Calibri"/>
          <w:b/>
          <w:i/>
          <w:szCs w:val="24"/>
          <w:lang w:val="en-US"/>
        </w:rPr>
        <w:t xml:space="preserve"> to Pointe </w:t>
      </w:r>
      <w:proofErr w:type="spellStart"/>
      <w:r w:rsidR="0090103C" w:rsidRPr="00986470">
        <w:rPr>
          <w:rFonts w:eastAsia="Calibri"/>
          <w:b/>
          <w:i/>
          <w:szCs w:val="24"/>
          <w:lang w:val="en-US"/>
        </w:rPr>
        <w:t>Coton</w:t>
      </w:r>
      <w:proofErr w:type="spellEnd"/>
      <w:r w:rsidR="0090103C" w:rsidRPr="00986470">
        <w:rPr>
          <w:rFonts w:eastAsia="Calibri"/>
          <w:b/>
          <w:i/>
          <w:szCs w:val="24"/>
          <w:lang w:val="en-US"/>
        </w:rPr>
        <w:t xml:space="preserve"> Road</w:t>
      </w:r>
    </w:p>
    <w:p w:rsidR="0090103C" w:rsidRPr="002823C6" w:rsidRDefault="0090103C" w:rsidP="002B1576">
      <w:pPr>
        <w:spacing w:after="200"/>
        <w:jc w:val="both"/>
        <w:rPr>
          <w:rFonts w:eastAsia="Calibri"/>
          <w:szCs w:val="24"/>
          <w:lang w:val="en-US"/>
        </w:rPr>
      </w:pPr>
      <w:r w:rsidRPr="002823C6">
        <w:rPr>
          <w:rFonts w:eastAsia="Calibri"/>
          <w:szCs w:val="24"/>
          <w:lang w:val="en-US"/>
        </w:rPr>
        <w:t>Detailed examination of this project was hampered by the fact that the Independent Commission Against Corruption (ICAC) has secured contract files since September 2013. As a result, the following could not be ascertained among others: approval for extension of time, whether any liquidated damages were payable, the validity of the performance</w:t>
      </w:r>
      <w:r>
        <w:rPr>
          <w:rFonts w:eastAsia="Calibri"/>
          <w:szCs w:val="24"/>
          <w:lang w:val="en-US"/>
        </w:rPr>
        <w:t xml:space="preserve"> bond and insurance polic</w:t>
      </w:r>
      <w:r w:rsidR="00D708DA">
        <w:rPr>
          <w:rFonts w:eastAsia="Calibri"/>
          <w:szCs w:val="24"/>
          <w:lang w:val="en-US"/>
        </w:rPr>
        <w:t>y</w:t>
      </w:r>
      <w:r>
        <w:rPr>
          <w:rFonts w:eastAsia="Calibri"/>
          <w:szCs w:val="24"/>
          <w:lang w:val="en-US"/>
        </w:rPr>
        <w:t>.</w:t>
      </w:r>
    </w:p>
    <w:p w:rsidR="0090103C" w:rsidRPr="002823C6" w:rsidRDefault="0090103C" w:rsidP="002B1576">
      <w:pPr>
        <w:spacing w:after="200"/>
        <w:jc w:val="both"/>
        <w:rPr>
          <w:rFonts w:eastAsia="Calibri"/>
          <w:b/>
          <w:szCs w:val="24"/>
          <w:lang w:val="en-US"/>
        </w:rPr>
      </w:pPr>
      <w:r w:rsidRPr="002823C6">
        <w:rPr>
          <w:rFonts w:eastAsia="Calibri"/>
          <w:szCs w:val="24"/>
          <w:lang w:val="en-US"/>
        </w:rPr>
        <w:t xml:space="preserve">According to terms stipulated in the Works Order, written </w:t>
      </w:r>
      <w:proofErr w:type="spellStart"/>
      <w:r w:rsidRPr="002823C6">
        <w:rPr>
          <w:rFonts w:eastAsia="Calibri"/>
          <w:szCs w:val="24"/>
          <w:lang w:val="en-US"/>
        </w:rPr>
        <w:t>authorisation</w:t>
      </w:r>
      <w:proofErr w:type="spellEnd"/>
      <w:r w:rsidRPr="002823C6">
        <w:rPr>
          <w:rFonts w:eastAsia="Calibri"/>
          <w:szCs w:val="24"/>
          <w:lang w:val="en-US"/>
        </w:rPr>
        <w:t xml:space="preserve"> of the Commission should be obtained prior to execution of variation works. There was no approval for works amounting to Rs 14,846,911.</w:t>
      </w:r>
    </w:p>
    <w:p w:rsidR="0090103C" w:rsidRPr="002823C6" w:rsidRDefault="0090103C" w:rsidP="002B1576">
      <w:pPr>
        <w:jc w:val="both"/>
        <w:rPr>
          <w:rFonts w:eastAsia="Calibri"/>
          <w:b/>
          <w:szCs w:val="24"/>
          <w:lang w:val="en-US"/>
        </w:rPr>
      </w:pPr>
    </w:p>
    <w:p w:rsidR="0090103C" w:rsidRPr="002823C6" w:rsidRDefault="0090103C" w:rsidP="002B1576">
      <w:pPr>
        <w:jc w:val="both"/>
        <w:rPr>
          <w:rFonts w:eastAsia="Calibri"/>
          <w:b/>
          <w:i/>
          <w:szCs w:val="24"/>
          <w:lang w:val="en-US"/>
        </w:rPr>
      </w:pPr>
      <w:r w:rsidRPr="002823C6">
        <w:rPr>
          <w:rFonts w:eastAsia="Calibri"/>
          <w:b/>
          <w:i/>
          <w:szCs w:val="24"/>
          <w:lang w:val="en-US"/>
        </w:rPr>
        <w:t>Recommendations</w:t>
      </w:r>
    </w:p>
    <w:p w:rsidR="0090103C" w:rsidRPr="002823C6" w:rsidRDefault="0090103C" w:rsidP="002B1576">
      <w:pPr>
        <w:jc w:val="both"/>
        <w:rPr>
          <w:rFonts w:eastAsia="Calibri"/>
          <w:b/>
          <w:i/>
          <w:szCs w:val="24"/>
          <w:lang w:val="en-US"/>
        </w:rPr>
      </w:pPr>
    </w:p>
    <w:p w:rsidR="0090103C" w:rsidRPr="00511967" w:rsidRDefault="0090103C" w:rsidP="002B1576">
      <w:pPr>
        <w:pStyle w:val="ListParagraph"/>
        <w:numPr>
          <w:ilvl w:val="0"/>
          <w:numId w:val="28"/>
        </w:numPr>
        <w:spacing w:line="240" w:lineRule="auto"/>
        <w:ind w:left="360"/>
        <w:jc w:val="both"/>
        <w:rPr>
          <w:rFonts w:ascii="Times New Roman" w:hAnsi="Times New Roman"/>
          <w:sz w:val="24"/>
          <w:szCs w:val="24"/>
          <w:lang w:val="en-US"/>
        </w:rPr>
      </w:pPr>
      <w:r w:rsidRPr="00511967">
        <w:rPr>
          <w:rFonts w:ascii="Times New Roman" w:hAnsi="Times New Roman"/>
          <w:sz w:val="24"/>
          <w:szCs w:val="24"/>
          <w:lang w:val="en-US"/>
        </w:rPr>
        <w:t>Projects should be properly administered, contract terms and conditions must be strictly complied with and the RRA should ensure that projects are completed on time.</w:t>
      </w:r>
    </w:p>
    <w:p w:rsidR="0090103C" w:rsidRPr="00511967" w:rsidRDefault="0090103C" w:rsidP="002B1576">
      <w:pPr>
        <w:jc w:val="both"/>
        <w:rPr>
          <w:rFonts w:eastAsia="Calibri"/>
          <w:b/>
          <w:szCs w:val="24"/>
          <w:lang w:val="en-US"/>
        </w:rPr>
      </w:pPr>
    </w:p>
    <w:p w:rsidR="0090103C" w:rsidRPr="00511967" w:rsidRDefault="0090103C" w:rsidP="002B1576">
      <w:pPr>
        <w:pStyle w:val="ListParagraph"/>
        <w:numPr>
          <w:ilvl w:val="0"/>
          <w:numId w:val="28"/>
        </w:numPr>
        <w:spacing w:line="240" w:lineRule="auto"/>
        <w:ind w:left="360"/>
        <w:jc w:val="both"/>
        <w:rPr>
          <w:rFonts w:ascii="Times New Roman" w:hAnsi="Times New Roman"/>
          <w:sz w:val="24"/>
          <w:szCs w:val="24"/>
          <w:lang w:val="en-US"/>
        </w:rPr>
      </w:pPr>
      <w:r w:rsidRPr="00511967">
        <w:rPr>
          <w:rFonts w:ascii="Times New Roman" w:hAnsi="Times New Roman"/>
          <w:sz w:val="24"/>
          <w:szCs w:val="24"/>
          <w:lang w:val="en-US"/>
        </w:rPr>
        <w:t xml:space="preserve">The RRA should consider whether a longer term contract for road works would be more appropriate than one-year contract to attract more bidders. </w:t>
      </w:r>
    </w:p>
    <w:p w:rsidR="0090103C" w:rsidRPr="00511967" w:rsidRDefault="0090103C" w:rsidP="002B1576">
      <w:pPr>
        <w:jc w:val="both"/>
        <w:rPr>
          <w:rFonts w:eastAsia="Calibri"/>
          <w:b/>
          <w:i/>
          <w:szCs w:val="24"/>
          <w:lang w:val="en-US"/>
        </w:rPr>
      </w:pPr>
    </w:p>
    <w:p w:rsidR="0090103C" w:rsidRPr="00511967" w:rsidRDefault="0090103C" w:rsidP="002B1576">
      <w:pPr>
        <w:pStyle w:val="ListParagraph"/>
        <w:numPr>
          <w:ilvl w:val="0"/>
          <w:numId w:val="28"/>
        </w:numPr>
        <w:spacing w:after="0" w:line="240" w:lineRule="auto"/>
        <w:ind w:left="360"/>
        <w:jc w:val="both"/>
        <w:rPr>
          <w:rFonts w:ascii="Times New Roman" w:hAnsi="Times New Roman"/>
          <w:sz w:val="24"/>
          <w:szCs w:val="24"/>
          <w:lang w:val="en-US"/>
        </w:rPr>
      </w:pPr>
      <w:r w:rsidRPr="00511967">
        <w:rPr>
          <w:rFonts w:ascii="Times New Roman" w:hAnsi="Times New Roman"/>
          <w:sz w:val="24"/>
          <w:szCs w:val="24"/>
          <w:lang w:val="en-US"/>
        </w:rPr>
        <w:t xml:space="preserve">Sufficient time should be devoted to planning of works. Proper site surveys should be carried out at design stage of </w:t>
      </w:r>
      <w:r w:rsidR="00A15EB2">
        <w:rPr>
          <w:rFonts w:ascii="Times New Roman" w:hAnsi="Times New Roman"/>
          <w:sz w:val="24"/>
          <w:szCs w:val="24"/>
          <w:lang w:val="en-US"/>
        </w:rPr>
        <w:t xml:space="preserve"> projects</w:t>
      </w:r>
      <w:r w:rsidRPr="00511967">
        <w:rPr>
          <w:rFonts w:ascii="Times New Roman" w:hAnsi="Times New Roman"/>
          <w:sz w:val="24"/>
          <w:szCs w:val="24"/>
          <w:lang w:val="en-US"/>
        </w:rPr>
        <w:t>.</w:t>
      </w:r>
    </w:p>
    <w:p w:rsidR="0090103C" w:rsidRDefault="0090103C" w:rsidP="002B1576">
      <w:pPr>
        <w:jc w:val="both"/>
        <w:rPr>
          <w:rFonts w:eastAsia="Calibri"/>
          <w:szCs w:val="24"/>
          <w:lang w:val="en-US"/>
        </w:rPr>
      </w:pPr>
    </w:p>
    <w:p w:rsidR="002B1576" w:rsidRDefault="002B1576" w:rsidP="002B1576">
      <w:pPr>
        <w:jc w:val="both"/>
        <w:rPr>
          <w:rFonts w:eastAsia="Calibri"/>
          <w:szCs w:val="24"/>
          <w:lang w:val="en-US"/>
        </w:rPr>
      </w:pPr>
    </w:p>
    <w:p w:rsidR="0090103C" w:rsidRDefault="0090103C" w:rsidP="002B1576">
      <w:pPr>
        <w:pStyle w:val="ListParagraph"/>
        <w:spacing w:after="0" w:line="240" w:lineRule="auto"/>
        <w:ind w:left="0"/>
        <w:jc w:val="both"/>
        <w:rPr>
          <w:rFonts w:ascii="Times New Roman" w:hAnsi="Times New Roman"/>
          <w:b/>
          <w:i/>
          <w:sz w:val="24"/>
          <w:szCs w:val="24"/>
        </w:rPr>
      </w:pPr>
      <w:r w:rsidRPr="00511967">
        <w:rPr>
          <w:rFonts w:ascii="Times New Roman" w:hAnsi="Times New Roman"/>
          <w:b/>
          <w:i/>
          <w:sz w:val="24"/>
          <w:szCs w:val="24"/>
        </w:rPr>
        <w:t>RRA’s Reply</w:t>
      </w:r>
    </w:p>
    <w:p w:rsidR="0090103C" w:rsidRDefault="0090103C" w:rsidP="002B1576">
      <w:pPr>
        <w:jc w:val="both"/>
        <w:rPr>
          <w:rFonts w:eastAsia="Calibri"/>
          <w:szCs w:val="24"/>
          <w:lang w:val="en-US"/>
        </w:rPr>
      </w:pPr>
    </w:p>
    <w:p w:rsidR="0090103C" w:rsidRPr="009F545D" w:rsidRDefault="0090103C" w:rsidP="002B1576">
      <w:pPr>
        <w:pStyle w:val="ListParagraph"/>
        <w:numPr>
          <w:ilvl w:val="0"/>
          <w:numId w:val="29"/>
        </w:numPr>
        <w:spacing w:line="240" w:lineRule="auto"/>
        <w:ind w:left="360"/>
        <w:jc w:val="both"/>
        <w:rPr>
          <w:rFonts w:ascii="Times New Roman" w:hAnsi="Times New Roman"/>
          <w:sz w:val="24"/>
          <w:szCs w:val="24"/>
          <w:lang w:val="en-US"/>
        </w:rPr>
      </w:pPr>
      <w:r w:rsidRPr="009F545D">
        <w:rPr>
          <w:rFonts w:ascii="Times New Roman" w:hAnsi="Times New Roman"/>
          <w:sz w:val="24"/>
          <w:szCs w:val="24"/>
          <w:lang w:val="en-US"/>
        </w:rPr>
        <w:t xml:space="preserve">The </w:t>
      </w:r>
      <w:proofErr w:type="spellStart"/>
      <w:r w:rsidRPr="009F545D">
        <w:rPr>
          <w:rFonts w:ascii="Times New Roman" w:hAnsi="Times New Roman"/>
          <w:sz w:val="24"/>
          <w:szCs w:val="24"/>
          <w:lang w:val="en-US"/>
        </w:rPr>
        <w:t>Rodrigues</w:t>
      </w:r>
      <w:proofErr w:type="spellEnd"/>
      <w:r w:rsidRPr="009F545D">
        <w:rPr>
          <w:rFonts w:ascii="Times New Roman" w:hAnsi="Times New Roman"/>
          <w:sz w:val="24"/>
          <w:szCs w:val="24"/>
          <w:lang w:val="en-US"/>
        </w:rPr>
        <w:t xml:space="preserve"> Regional Assembly and the Central Procurement Board have agreed that future procurement exercise will be on a two-year basis in order to attract more potential bidders.</w:t>
      </w:r>
    </w:p>
    <w:p w:rsidR="0090103C" w:rsidRPr="009F545D" w:rsidRDefault="0090103C" w:rsidP="002B1576">
      <w:pPr>
        <w:jc w:val="both"/>
        <w:rPr>
          <w:rFonts w:eastAsia="Calibri"/>
          <w:szCs w:val="24"/>
          <w:lang w:val="en-US"/>
        </w:rPr>
      </w:pPr>
    </w:p>
    <w:p w:rsidR="0090103C" w:rsidRPr="009F545D" w:rsidRDefault="0090103C" w:rsidP="002B1576">
      <w:pPr>
        <w:pStyle w:val="ListParagraph"/>
        <w:numPr>
          <w:ilvl w:val="0"/>
          <w:numId w:val="29"/>
        </w:numPr>
        <w:spacing w:line="240" w:lineRule="auto"/>
        <w:ind w:left="360"/>
        <w:jc w:val="both"/>
        <w:rPr>
          <w:rFonts w:ascii="Times New Roman" w:hAnsi="Times New Roman"/>
          <w:sz w:val="24"/>
          <w:szCs w:val="24"/>
          <w:lang w:val="en-US"/>
        </w:rPr>
      </w:pPr>
      <w:r w:rsidRPr="009F545D">
        <w:rPr>
          <w:rFonts w:ascii="Times New Roman" w:hAnsi="Times New Roman"/>
          <w:sz w:val="24"/>
          <w:szCs w:val="24"/>
          <w:lang w:val="en-US"/>
        </w:rPr>
        <w:t xml:space="preserve">The Contractor has been notified that submission of </w:t>
      </w:r>
      <w:r w:rsidR="00A15EB2">
        <w:rPr>
          <w:rFonts w:ascii="Times New Roman" w:hAnsi="Times New Roman"/>
          <w:sz w:val="24"/>
          <w:szCs w:val="24"/>
          <w:lang w:val="en-US"/>
        </w:rPr>
        <w:t>“a</w:t>
      </w:r>
      <w:r w:rsidRPr="009F545D">
        <w:rPr>
          <w:rFonts w:ascii="Times New Roman" w:hAnsi="Times New Roman"/>
          <w:sz w:val="24"/>
          <w:szCs w:val="24"/>
          <w:lang w:val="en-US"/>
        </w:rPr>
        <w:t>s-</w:t>
      </w:r>
      <w:r w:rsidR="00A15EB2">
        <w:rPr>
          <w:rFonts w:ascii="Times New Roman" w:hAnsi="Times New Roman"/>
          <w:sz w:val="24"/>
          <w:szCs w:val="24"/>
          <w:lang w:val="en-US"/>
        </w:rPr>
        <w:t>b</w:t>
      </w:r>
      <w:r w:rsidRPr="009F545D">
        <w:rPr>
          <w:rFonts w:ascii="Times New Roman" w:hAnsi="Times New Roman"/>
          <w:sz w:val="24"/>
          <w:szCs w:val="24"/>
          <w:lang w:val="en-US"/>
        </w:rPr>
        <w:t>uilt</w:t>
      </w:r>
      <w:r w:rsidR="00A15EB2">
        <w:rPr>
          <w:rFonts w:ascii="Times New Roman" w:hAnsi="Times New Roman"/>
          <w:sz w:val="24"/>
          <w:szCs w:val="24"/>
          <w:lang w:val="en-US"/>
        </w:rPr>
        <w:t xml:space="preserve"> </w:t>
      </w:r>
      <w:r w:rsidRPr="009F545D">
        <w:rPr>
          <w:rFonts w:ascii="Times New Roman" w:hAnsi="Times New Roman"/>
          <w:sz w:val="24"/>
          <w:szCs w:val="24"/>
          <w:lang w:val="en-US"/>
        </w:rPr>
        <w:t>drawings</w:t>
      </w:r>
      <w:r w:rsidR="00A15EB2">
        <w:rPr>
          <w:rFonts w:ascii="Times New Roman" w:hAnsi="Times New Roman"/>
          <w:sz w:val="24"/>
          <w:szCs w:val="24"/>
          <w:lang w:val="en-US"/>
        </w:rPr>
        <w:t>”</w:t>
      </w:r>
      <w:r w:rsidRPr="009F545D">
        <w:rPr>
          <w:rFonts w:ascii="Times New Roman" w:hAnsi="Times New Roman"/>
          <w:sz w:val="24"/>
          <w:szCs w:val="24"/>
          <w:lang w:val="en-US"/>
        </w:rPr>
        <w:t xml:space="preserve"> is pre-requisite to </w:t>
      </w:r>
      <w:proofErr w:type="spellStart"/>
      <w:r w:rsidRPr="009F545D">
        <w:rPr>
          <w:rFonts w:ascii="Times New Roman" w:hAnsi="Times New Roman"/>
          <w:sz w:val="24"/>
          <w:szCs w:val="24"/>
          <w:lang w:val="en-US"/>
        </w:rPr>
        <w:t>finalise</w:t>
      </w:r>
      <w:proofErr w:type="spellEnd"/>
      <w:r w:rsidRPr="009F545D">
        <w:rPr>
          <w:rFonts w:ascii="Times New Roman" w:hAnsi="Times New Roman"/>
          <w:sz w:val="24"/>
          <w:szCs w:val="24"/>
          <w:lang w:val="en-US"/>
        </w:rPr>
        <w:t xml:space="preserve"> pending applications for payments.  As per condition of contract, 2 per cent of final works order will be deducted for non-submission of the requested As-Built drawings.</w:t>
      </w:r>
    </w:p>
    <w:p w:rsidR="004A483D" w:rsidRDefault="004A483D" w:rsidP="002B1576">
      <w:pPr>
        <w:ind w:left="360"/>
        <w:jc w:val="both"/>
        <w:rPr>
          <w:rFonts w:eastAsia="Calibri"/>
          <w:szCs w:val="24"/>
          <w:lang w:val="en-US"/>
        </w:rPr>
      </w:pPr>
    </w:p>
    <w:p w:rsidR="0090103C" w:rsidRPr="002823C6" w:rsidRDefault="00986470" w:rsidP="002B1576">
      <w:pPr>
        <w:tabs>
          <w:tab w:val="left" w:pos="426"/>
        </w:tabs>
        <w:jc w:val="both"/>
        <w:rPr>
          <w:rFonts w:eastAsia="Calibri"/>
          <w:szCs w:val="24"/>
          <w:lang w:val="en-US"/>
        </w:rPr>
      </w:pPr>
      <w:r>
        <w:rPr>
          <w:rFonts w:eastAsia="Calibri"/>
          <w:b/>
          <w:szCs w:val="24"/>
          <w:lang w:val="en-US"/>
        </w:rPr>
        <w:t>4.2</w:t>
      </w:r>
      <w:r w:rsidR="00F728D0">
        <w:rPr>
          <w:rFonts w:eastAsia="Calibri"/>
          <w:b/>
          <w:szCs w:val="24"/>
          <w:lang w:val="en-US"/>
        </w:rPr>
        <w:t xml:space="preserve">  </w:t>
      </w:r>
      <w:proofErr w:type="spellStart"/>
      <w:r w:rsidR="0090103C" w:rsidRPr="002823C6">
        <w:rPr>
          <w:rFonts w:eastAsia="Calibri"/>
          <w:b/>
          <w:szCs w:val="24"/>
          <w:lang w:val="en-US"/>
        </w:rPr>
        <w:t>Revetement</w:t>
      </w:r>
      <w:proofErr w:type="spellEnd"/>
      <w:r w:rsidR="0090103C" w:rsidRPr="002823C6">
        <w:rPr>
          <w:rFonts w:eastAsia="Calibri"/>
          <w:b/>
          <w:szCs w:val="24"/>
          <w:lang w:val="en-US"/>
        </w:rPr>
        <w:t xml:space="preserve"> Wall</w:t>
      </w:r>
    </w:p>
    <w:p w:rsidR="0090103C" w:rsidRPr="002823C6" w:rsidRDefault="0090103C" w:rsidP="002B1576">
      <w:pPr>
        <w:jc w:val="both"/>
        <w:rPr>
          <w:rFonts w:eastAsia="Calibri"/>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With reference to paragraph 4.1.4 of the Audit Report for the year ended 31 December 2012, regarding the construction of a “</w:t>
      </w:r>
      <w:proofErr w:type="spellStart"/>
      <w:r w:rsidRPr="002823C6">
        <w:rPr>
          <w:rFonts w:eastAsia="Calibri"/>
          <w:szCs w:val="24"/>
          <w:lang w:val="en-US"/>
        </w:rPr>
        <w:t>Revet</w:t>
      </w:r>
      <w:r>
        <w:rPr>
          <w:rFonts w:eastAsia="Calibri"/>
          <w:szCs w:val="24"/>
          <w:lang w:val="en-US"/>
        </w:rPr>
        <w:t>e</w:t>
      </w:r>
      <w:r w:rsidRPr="002823C6">
        <w:rPr>
          <w:rFonts w:eastAsia="Calibri"/>
          <w:szCs w:val="24"/>
          <w:lang w:val="en-US"/>
        </w:rPr>
        <w:t>ment</w:t>
      </w:r>
      <w:proofErr w:type="spellEnd"/>
      <w:r w:rsidRPr="002823C6">
        <w:rPr>
          <w:rFonts w:eastAsia="Calibri"/>
          <w:szCs w:val="24"/>
          <w:lang w:val="en-US"/>
        </w:rPr>
        <w:t xml:space="preserve"> wall” at Oyster Bay for containing the dredged materials arising from the </w:t>
      </w:r>
      <w:proofErr w:type="spellStart"/>
      <w:r w:rsidRPr="002823C6">
        <w:rPr>
          <w:rFonts w:eastAsia="Calibri"/>
          <w:szCs w:val="24"/>
          <w:lang w:val="en-US"/>
        </w:rPr>
        <w:t>desilting</w:t>
      </w:r>
      <w:proofErr w:type="spellEnd"/>
      <w:r w:rsidRPr="002823C6">
        <w:rPr>
          <w:rFonts w:eastAsia="Calibri"/>
          <w:szCs w:val="24"/>
          <w:lang w:val="en-US"/>
        </w:rPr>
        <w:t xml:space="preserve"> works at Oyster Bay and Pointe </w:t>
      </w:r>
      <w:proofErr w:type="spellStart"/>
      <w:r w:rsidRPr="002823C6">
        <w:rPr>
          <w:rFonts w:eastAsia="Calibri"/>
          <w:szCs w:val="24"/>
          <w:lang w:val="en-US"/>
        </w:rPr>
        <w:t>Monier</w:t>
      </w:r>
      <w:proofErr w:type="spellEnd"/>
      <w:r w:rsidRPr="002823C6">
        <w:rPr>
          <w:rFonts w:eastAsia="Calibri"/>
          <w:szCs w:val="24"/>
          <w:lang w:val="en-US"/>
        </w:rPr>
        <w:t xml:space="preserve"> which would be </w:t>
      </w:r>
      <w:r w:rsidRPr="002823C6">
        <w:rPr>
          <w:rFonts w:eastAsia="Calibri"/>
          <w:szCs w:val="24"/>
          <w:lang w:val="en-US"/>
        </w:rPr>
        <w:lastRenderedPageBreak/>
        <w:t xml:space="preserve">undertaken by the Mauritius Port Authority, I reported that dredging materials were not deposited within the wall structure and the contract was executed without any feasibility study having been carried out. </w:t>
      </w:r>
    </w:p>
    <w:p w:rsidR="0090103C" w:rsidRPr="002823C6" w:rsidRDefault="0090103C" w:rsidP="002B1576">
      <w:pPr>
        <w:jc w:val="both"/>
        <w:rPr>
          <w:rFonts w:eastAsia="Calibri"/>
          <w:szCs w:val="24"/>
          <w:lang w:val="en-US"/>
        </w:rPr>
      </w:pPr>
    </w:p>
    <w:p w:rsidR="0090103C" w:rsidRPr="002823C6" w:rsidRDefault="0090103C" w:rsidP="002B1576">
      <w:pPr>
        <w:jc w:val="both"/>
        <w:rPr>
          <w:rFonts w:eastAsia="Calibri"/>
          <w:szCs w:val="24"/>
          <w:lang w:val="en-US"/>
        </w:rPr>
      </w:pPr>
      <w:r w:rsidRPr="002823C6">
        <w:rPr>
          <w:rFonts w:eastAsia="Calibri"/>
          <w:szCs w:val="24"/>
          <w:lang w:val="en-US"/>
        </w:rPr>
        <w:t>The wall was completed on 30 June 2008 and payments amounting to Rs 26,325,949 were made to the Contractor. Follow up of the project has not been possible as the files and all the related documents were still in the custody of the ICAC for enquiry.</w:t>
      </w:r>
    </w:p>
    <w:p w:rsidR="00F957A9" w:rsidRDefault="00F957A9" w:rsidP="002B1576">
      <w:pPr>
        <w:autoSpaceDE w:val="0"/>
        <w:autoSpaceDN w:val="0"/>
        <w:adjustRightInd w:val="0"/>
        <w:jc w:val="both"/>
        <w:rPr>
          <w:rFonts w:eastAsia="Calibri"/>
          <w:b/>
          <w:bCs/>
          <w:szCs w:val="24"/>
          <w:lang w:val="en-US"/>
        </w:rPr>
        <w:sectPr w:rsidR="00F957A9" w:rsidSect="00C44FDB">
          <w:headerReference w:type="default" r:id="rId18"/>
          <w:footerReference w:type="default" r:id="rId19"/>
          <w:headerReference w:type="first" r:id="rId20"/>
          <w:pgSz w:w="11907" w:h="16839" w:code="9"/>
          <w:pgMar w:top="1440" w:right="1440" w:bottom="1440" w:left="1440" w:header="706" w:footer="432" w:gutter="0"/>
          <w:cols w:space="708"/>
          <w:titlePg/>
          <w:docGrid w:linePitch="326"/>
        </w:sectPr>
      </w:pPr>
    </w:p>
    <w:p w:rsidR="00986470" w:rsidRDefault="00986470" w:rsidP="002B1576">
      <w:pPr>
        <w:autoSpaceDE w:val="0"/>
        <w:autoSpaceDN w:val="0"/>
        <w:adjustRightInd w:val="0"/>
        <w:jc w:val="both"/>
        <w:rPr>
          <w:rFonts w:eastAsia="Calibri"/>
          <w:b/>
          <w:bCs/>
          <w:szCs w:val="24"/>
          <w:lang w:val="en-US"/>
        </w:rPr>
      </w:pPr>
    </w:p>
    <w:p w:rsidR="00986470" w:rsidRDefault="00986470" w:rsidP="002B1576">
      <w:pPr>
        <w:jc w:val="both"/>
        <w:rPr>
          <w:b/>
          <w:szCs w:val="24"/>
        </w:rPr>
      </w:pPr>
      <w:r>
        <w:rPr>
          <w:b/>
          <w:szCs w:val="24"/>
        </w:rPr>
        <w:t xml:space="preserve">5.1 </w:t>
      </w:r>
      <w:r w:rsidR="004A483D">
        <w:rPr>
          <w:b/>
          <w:szCs w:val="24"/>
        </w:rPr>
        <w:t xml:space="preserve"> </w:t>
      </w:r>
      <w:r>
        <w:rPr>
          <w:b/>
          <w:szCs w:val="24"/>
        </w:rPr>
        <w:t>New Maternity Block - Rs 39 million</w:t>
      </w:r>
    </w:p>
    <w:p w:rsidR="00986470" w:rsidRDefault="00986470" w:rsidP="002B1576">
      <w:pPr>
        <w:jc w:val="both"/>
        <w:rPr>
          <w:b/>
          <w:szCs w:val="24"/>
        </w:rPr>
      </w:pPr>
    </w:p>
    <w:p w:rsidR="00986470" w:rsidRDefault="00986470" w:rsidP="002B1576">
      <w:pPr>
        <w:jc w:val="both"/>
        <w:rPr>
          <w:szCs w:val="24"/>
        </w:rPr>
      </w:pPr>
      <w:r w:rsidRPr="00BB3C6E">
        <w:rPr>
          <w:szCs w:val="24"/>
        </w:rPr>
        <w:t xml:space="preserve">A new Maternity </w:t>
      </w:r>
      <w:r>
        <w:rPr>
          <w:szCs w:val="24"/>
        </w:rPr>
        <w:t>B</w:t>
      </w:r>
      <w:r w:rsidRPr="00BB3C6E">
        <w:rPr>
          <w:szCs w:val="24"/>
        </w:rPr>
        <w:t xml:space="preserve">lock </w:t>
      </w:r>
      <w:r>
        <w:rPr>
          <w:szCs w:val="24"/>
        </w:rPr>
        <w:t xml:space="preserve">of </w:t>
      </w:r>
      <w:r w:rsidRPr="00BB3C6E">
        <w:rPr>
          <w:szCs w:val="24"/>
        </w:rPr>
        <w:t>an area of 2,500</w:t>
      </w:r>
      <w:r>
        <w:rPr>
          <w:szCs w:val="24"/>
        </w:rPr>
        <w:t xml:space="preserve"> square</w:t>
      </w:r>
      <w:r w:rsidRPr="00BB3C6E">
        <w:rPr>
          <w:szCs w:val="24"/>
        </w:rPr>
        <w:t xml:space="preserve"> </w:t>
      </w:r>
      <w:r>
        <w:rPr>
          <w:szCs w:val="24"/>
        </w:rPr>
        <w:t>metres</w:t>
      </w:r>
      <w:r>
        <w:rPr>
          <w:szCs w:val="24"/>
          <w:vertAlign w:val="superscript"/>
        </w:rPr>
        <w:t xml:space="preserve"> </w:t>
      </w:r>
      <w:r w:rsidRPr="00BB3C6E">
        <w:rPr>
          <w:szCs w:val="24"/>
        </w:rPr>
        <w:t>was constructed</w:t>
      </w:r>
      <w:r>
        <w:rPr>
          <w:szCs w:val="24"/>
        </w:rPr>
        <w:t xml:space="preserve"> in the compound of the Queen Elizabeth Hospital in 2007</w:t>
      </w:r>
      <w:r w:rsidRPr="00BB3C6E">
        <w:rPr>
          <w:szCs w:val="24"/>
        </w:rPr>
        <w:t xml:space="preserve"> </w:t>
      </w:r>
      <w:r>
        <w:rPr>
          <w:szCs w:val="24"/>
        </w:rPr>
        <w:t xml:space="preserve">at a contract amount of </w:t>
      </w:r>
      <w:r w:rsidRPr="00BB3C6E">
        <w:rPr>
          <w:szCs w:val="24"/>
        </w:rPr>
        <w:t>Rs 39,045,950</w:t>
      </w:r>
      <w:r>
        <w:rPr>
          <w:szCs w:val="24"/>
        </w:rPr>
        <w:t>.</w:t>
      </w:r>
      <w:r w:rsidRPr="00BB3C6E">
        <w:rPr>
          <w:szCs w:val="24"/>
        </w:rPr>
        <w:t xml:space="preserve"> </w:t>
      </w:r>
      <w:r>
        <w:rPr>
          <w:szCs w:val="24"/>
        </w:rPr>
        <w:t xml:space="preserve">It comprised </w:t>
      </w:r>
      <w:r w:rsidRPr="00BB3C6E">
        <w:rPr>
          <w:szCs w:val="24"/>
        </w:rPr>
        <w:t>an Operati</w:t>
      </w:r>
      <w:r>
        <w:rPr>
          <w:szCs w:val="24"/>
        </w:rPr>
        <w:t>ng</w:t>
      </w:r>
      <w:r w:rsidRPr="00BB3C6E">
        <w:rPr>
          <w:szCs w:val="24"/>
        </w:rPr>
        <w:t xml:space="preserve"> </w:t>
      </w:r>
      <w:r>
        <w:rPr>
          <w:szCs w:val="24"/>
        </w:rPr>
        <w:t>T</w:t>
      </w:r>
      <w:r w:rsidRPr="00BB3C6E">
        <w:rPr>
          <w:szCs w:val="24"/>
        </w:rPr>
        <w:t>heatre</w:t>
      </w:r>
      <w:r>
        <w:rPr>
          <w:szCs w:val="24"/>
        </w:rPr>
        <w:t>,</w:t>
      </w:r>
      <w:r w:rsidRPr="00BB3C6E">
        <w:rPr>
          <w:szCs w:val="24"/>
        </w:rPr>
        <w:t xml:space="preserve"> an</w:t>
      </w:r>
      <w:r>
        <w:rPr>
          <w:szCs w:val="24"/>
        </w:rPr>
        <w:t xml:space="preserve"> Intensive Care Unit (ICU), various Wards and Units. </w:t>
      </w:r>
    </w:p>
    <w:p w:rsidR="00986470" w:rsidRDefault="00986470" w:rsidP="002B1576">
      <w:pPr>
        <w:jc w:val="both"/>
        <w:rPr>
          <w:szCs w:val="24"/>
        </w:rPr>
      </w:pPr>
    </w:p>
    <w:p w:rsidR="00986470" w:rsidRDefault="00986470" w:rsidP="002B1576">
      <w:pPr>
        <w:jc w:val="both"/>
        <w:rPr>
          <w:szCs w:val="24"/>
        </w:rPr>
      </w:pPr>
      <w:r>
        <w:rPr>
          <w:szCs w:val="24"/>
        </w:rPr>
        <w:t>Some six years after its construction, the Maternity B</w:t>
      </w:r>
      <w:r w:rsidRPr="0002539B">
        <w:rPr>
          <w:szCs w:val="24"/>
        </w:rPr>
        <w:t xml:space="preserve">lock </w:t>
      </w:r>
      <w:r>
        <w:rPr>
          <w:szCs w:val="24"/>
        </w:rPr>
        <w:t>was not fully operational. The ICU, which has a capacity of accommodating six patients at a time, and the Operating Theatre which were equipped with all the necessary amenities, were not being used.</w:t>
      </w:r>
    </w:p>
    <w:p w:rsidR="00986470" w:rsidRDefault="00986470" w:rsidP="002B1576">
      <w:pPr>
        <w:jc w:val="both"/>
        <w:rPr>
          <w:szCs w:val="24"/>
        </w:rPr>
      </w:pPr>
    </w:p>
    <w:p w:rsidR="00986470" w:rsidRDefault="00986470" w:rsidP="002B1576">
      <w:pPr>
        <w:jc w:val="both"/>
        <w:rPr>
          <w:szCs w:val="24"/>
        </w:rPr>
      </w:pPr>
      <w:r>
        <w:rPr>
          <w:szCs w:val="24"/>
        </w:rPr>
        <w:t>A contract was awarded for the purchase, installation and commissioning of m</w:t>
      </w:r>
      <w:r w:rsidRPr="002D6C33">
        <w:rPr>
          <w:szCs w:val="24"/>
        </w:rPr>
        <w:t xml:space="preserve">edical apparatus </w:t>
      </w:r>
      <w:r>
        <w:rPr>
          <w:szCs w:val="24"/>
        </w:rPr>
        <w:t xml:space="preserve">and equipment for the Maternity Block at a cost of </w:t>
      </w:r>
      <w:r w:rsidRPr="002D6C33">
        <w:rPr>
          <w:szCs w:val="24"/>
        </w:rPr>
        <w:t xml:space="preserve"> some Rs 5</w:t>
      </w:r>
      <w:r>
        <w:rPr>
          <w:szCs w:val="24"/>
        </w:rPr>
        <w:t>.</w:t>
      </w:r>
      <w:r w:rsidRPr="002D6C33">
        <w:rPr>
          <w:szCs w:val="24"/>
        </w:rPr>
        <w:t>8</w:t>
      </w:r>
      <w:r>
        <w:rPr>
          <w:szCs w:val="24"/>
        </w:rPr>
        <w:t xml:space="preserve"> million in April 2009. </w:t>
      </w:r>
      <w:r w:rsidRPr="002D6C33">
        <w:rPr>
          <w:szCs w:val="24"/>
        </w:rPr>
        <w:t xml:space="preserve"> </w:t>
      </w:r>
      <w:r>
        <w:rPr>
          <w:szCs w:val="24"/>
        </w:rPr>
        <w:t xml:space="preserve">As it was not fully operational, most of the equipment was transferred </w:t>
      </w:r>
      <w:r w:rsidRPr="002D6C33">
        <w:rPr>
          <w:szCs w:val="24"/>
        </w:rPr>
        <w:t xml:space="preserve">to other </w:t>
      </w:r>
      <w:r w:rsidRPr="005427D0">
        <w:rPr>
          <w:szCs w:val="24"/>
        </w:rPr>
        <w:t>Units and</w:t>
      </w:r>
      <w:r>
        <w:rPr>
          <w:szCs w:val="24"/>
        </w:rPr>
        <w:t xml:space="preserve"> Area H</w:t>
      </w:r>
      <w:r w:rsidRPr="002D6C33">
        <w:rPr>
          <w:szCs w:val="24"/>
        </w:rPr>
        <w:t xml:space="preserve">ealth </w:t>
      </w:r>
      <w:r>
        <w:rPr>
          <w:szCs w:val="24"/>
        </w:rPr>
        <w:t>C</w:t>
      </w:r>
      <w:r w:rsidRPr="002D6C33">
        <w:rPr>
          <w:szCs w:val="24"/>
        </w:rPr>
        <w:t>entres</w:t>
      </w:r>
      <w:r>
        <w:rPr>
          <w:szCs w:val="24"/>
        </w:rPr>
        <w:t xml:space="preserve">. During a physical survey carried out on 9 April 2014 at the Operating Theatre, a </w:t>
      </w:r>
      <w:proofErr w:type="spellStart"/>
      <w:r>
        <w:rPr>
          <w:szCs w:val="24"/>
        </w:rPr>
        <w:t>sciallytic</w:t>
      </w:r>
      <w:proofErr w:type="spellEnd"/>
      <w:r>
        <w:rPr>
          <w:szCs w:val="24"/>
        </w:rPr>
        <w:t xml:space="preserve"> lamp purchased at Rs 374,000 was found lying in its original package and still unused. </w:t>
      </w:r>
    </w:p>
    <w:p w:rsidR="00986470" w:rsidRPr="002D6C33" w:rsidRDefault="00986470" w:rsidP="002B1576">
      <w:pPr>
        <w:jc w:val="both"/>
        <w:rPr>
          <w:szCs w:val="24"/>
        </w:rPr>
      </w:pPr>
    </w:p>
    <w:p w:rsidR="00986470" w:rsidRDefault="00986470" w:rsidP="002B1576">
      <w:pPr>
        <w:jc w:val="both"/>
        <w:rPr>
          <w:szCs w:val="24"/>
        </w:rPr>
      </w:pPr>
      <w:r>
        <w:rPr>
          <w:szCs w:val="24"/>
        </w:rPr>
        <w:t xml:space="preserve">The Maternity Block was not being fully utilised for the purposes intended for and hence, maximum benefits were not being obtained for the huge investment. </w:t>
      </w:r>
    </w:p>
    <w:p w:rsidR="00986470" w:rsidRDefault="00986470" w:rsidP="002B1576">
      <w:pPr>
        <w:jc w:val="both"/>
        <w:rPr>
          <w:szCs w:val="24"/>
        </w:rPr>
      </w:pPr>
    </w:p>
    <w:p w:rsidR="00986470" w:rsidRDefault="00986470" w:rsidP="002B1576">
      <w:pPr>
        <w:jc w:val="both"/>
        <w:rPr>
          <w:szCs w:val="24"/>
        </w:rPr>
      </w:pPr>
    </w:p>
    <w:p w:rsidR="00986470" w:rsidRPr="00F32FCD" w:rsidRDefault="00986470" w:rsidP="002B1576">
      <w:pPr>
        <w:jc w:val="both"/>
        <w:rPr>
          <w:b/>
          <w:i/>
          <w:szCs w:val="24"/>
        </w:rPr>
      </w:pPr>
      <w:r w:rsidRPr="00F32FCD">
        <w:rPr>
          <w:b/>
          <w:i/>
          <w:szCs w:val="24"/>
        </w:rPr>
        <w:t>Recommendation</w:t>
      </w:r>
    </w:p>
    <w:p w:rsidR="00986470" w:rsidRPr="00906BCF" w:rsidRDefault="00986470" w:rsidP="002B1576">
      <w:pPr>
        <w:jc w:val="both"/>
        <w:rPr>
          <w:b/>
          <w:szCs w:val="24"/>
        </w:rPr>
      </w:pPr>
    </w:p>
    <w:p w:rsidR="00986470" w:rsidRDefault="00986470" w:rsidP="002B1576">
      <w:pPr>
        <w:jc w:val="both"/>
        <w:rPr>
          <w:szCs w:val="24"/>
        </w:rPr>
      </w:pPr>
      <w:r>
        <w:rPr>
          <w:szCs w:val="24"/>
        </w:rPr>
        <w:t>Necessary measures should be taken to make maximum use of the available space, facilities and the equipment.</w:t>
      </w:r>
    </w:p>
    <w:p w:rsidR="00986470" w:rsidRDefault="00986470" w:rsidP="002B1576">
      <w:pPr>
        <w:jc w:val="both"/>
        <w:rPr>
          <w:b/>
          <w:i/>
          <w:szCs w:val="24"/>
        </w:rPr>
      </w:pPr>
    </w:p>
    <w:p w:rsidR="00986470" w:rsidRPr="00B245F1" w:rsidRDefault="00986470" w:rsidP="002B1576">
      <w:pPr>
        <w:jc w:val="both"/>
        <w:rPr>
          <w:b/>
          <w:i/>
          <w:szCs w:val="24"/>
        </w:rPr>
      </w:pPr>
    </w:p>
    <w:p w:rsidR="00986470" w:rsidRPr="00B245F1" w:rsidRDefault="00986470" w:rsidP="002B1576">
      <w:pPr>
        <w:jc w:val="both"/>
        <w:rPr>
          <w:b/>
          <w:i/>
          <w:szCs w:val="24"/>
        </w:rPr>
      </w:pPr>
      <w:r w:rsidRPr="00B245F1">
        <w:rPr>
          <w:b/>
          <w:i/>
          <w:szCs w:val="24"/>
        </w:rPr>
        <w:t>RRA’s Reply</w:t>
      </w:r>
    </w:p>
    <w:p w:rsidR="00986470" w:rsidRDefault="00986470" w:rsidP="002B1576">
      <w:pPr>
        <w:jc w:val="both"/>
        <w:rPr>
          <w:szCs w:val="24"/>
        </w:rPr>
      </w:pPr>
    </w:p>
    <w:p w:rsidR="00986470" w:rsidRDefault="00986470" w:rsidP="002B1576">
      <w:pPr>
        <w:jc w:val="both"/>
        <w:rPr>
          <w:szCs w:val="24"/>
        </w:rPr>
      </w:pPr>
      <w:r>
        <w:rPr>
          <w:szCs w:val="24"/>
        </w:rPr>
        <w:t>Operating Theatre will be operational as from 2015.  All measures are being taken in 2015 budget for same.</w:t>
      </w:r>
    </w:p>
    <w:p w:rsidR="00986470" w:rsidRDefault="00986470" w:rsidP="002B1576">
      <w:pPr>
        <w:jc w:val="both"/>
        <w:rPr>
          <w:b/>
          <w:szCs w:val="24"/>
        </w:rPr>
      </w:pPr>
    </w:p>
    <w:p w:rsidR="00986470" w:rsidRPr="00511967" w:rsidRDefault="00986470" w:rsidP="002B1576">
      <w:pPr>
        <w:jc w:val="both"/>
        <w:rPr>
          <w:szCs w:val="24"/>
        </w:rPr>
      </w:pPr>
      <w:r w:rsidRPr="00511967">
        <w:rPr>
          <w:szCs w:val="24"/>
        </w:rPr>
        <w:t>New Maternity Block is being reorganised to optimise use of space as from 2015.</w:t>
      </w:r>
    </w:p>
    <w:p w:rsidR="00986470" w:rsidRDefault="00986470" w:rsidP="002B1576">
      <w:pPr>
        <w:jc w:val="both"/>
        <w:rPr>
          <w:b/>
          <w:szCs w:val="24"/>
        </w:rPr>
      </w:pPr>
    </w:p>
    <w:p w:rsidR="00986470" w:rsidRDefault="00986470" w:rsidP="002B1576">
      <w:pPr>
        <w:jc w:val="both"/>
        <w:rPr>
          <w:b/>
          <w:szCs w:val="24"/>
        </w:rPr>
      </w:pPr>
    </w:p>
    <w:p w:rsidR="00986470" w:rsidRDefault="007B034E" w:rsidP="002B1576">
      <w:pPr>
        <w:jc w:val="both"/>
        <w:rPr>
          <w:b/>
          <w:szCs w:val="24"/>
        </w:rPr>
      </w:pPr>
      <w:r>
        <w:rPr>
          <w:b/>
          <w:szCs w:val="24"/>
        </w:rPr>
        <w:t xml:space="preserve">5.2 </w:t>
      </w:r>
      <w:r w:rsidR="00986470">
        <w:rPr>
          <w:b/>
          <w:szCs w:val="24"/>
        </w:rPr>
        <w:t xml:space="preserve"> </w:t>
      </w:r>
      <w:r w:rsidR="00986470" w:rsidRPr="001D3E4A">
        <w:rPr>
          <w:b/>
          <w:szCs w:val="24"/>
        </w:rPr>
        <w:t>Stores</w:t>
      </w:r>
      <w:r w:rsidR="00986470">
        <w:rPr>
          <w:b/>
          <w:szCs w:val="24"/>
        </w:rPr>
        <w:t xml:space="preserve"> M</w:t>
      </w:r>
      <w:r w:rsidR="00986470" w:rsidRPr="001D3E4A">
        <w:rPr>
          <w:b/>
          <w:szCs w:val="24"/>
        </w:rPr>
        <w:t>anagement</w:t>
      </w:r>
      <w:r w:rsidR="00986470">
        <w:rPr>
          <w:b/>
          <w:szCs w:val="24"/>
        </w:rPr>
        <w:t xml:space="preserve"> </w:t>
      </w:r>
    </w:p>
    <w:p w:rsidR="00986470" w:rsidRDefault="00986470" w:rsidP="002B1576">
      <w:pPr>
        <w:jc w:val="both"/>
        <w:rPr>
          <w:b/>
          <w:szCs w:val="24"/>
        </w:rPr>
      </w:pPr>
    </w:p>
    <w:p w:rsidR="00986470" w:rsidRDefault="00986470" w:rsidP="002B1576">
      <w:pPr>
        <w:jc w:val="both"/>
        <w:rPr>
          <w:szCs w:val="24"/>
        </w:rPr>
      </w:pPr>
      <w:r>
        <w:rPr>
          <w:szCs w:val="24"/>
        </w:rPr>
        <w:t xml:space="preserve">The Pharmacy Section of the </w:t>
      </w:r>
      <w:r w:rsidRPr="00FD1866">
        <w:rPr>
          <w:szCs w:val="24"/>
        </w:rPr>
        <w:t>Queen Elizabeth Hospital</w:t>
      </w:r>
      <w:r>
        <w:rPr>
          <w:szCs w:val="24"/>
        </w:rPr>
        <w:t xml:space="preserve"> is responsible for the distribution of drugs in the Hospital, two Area Health Centres, nine Dispensaries, six Community Health Centres, and the Prison Service. D</w:t>
      </w:r>
      <w:r w:rsidRPr="006144CB">
        <w:rPr>
          <w:szCs w:val="24"/>
        </w:rPr>
        <w:t xml:space="preserve">rugs and </w:t>
      </w:r>
      <w:r>
        <w:rPr>
          <w:szCs w:val="24"/>
        </w:rPr>
        <w:t>s</w:t>
      </w:r>
      <w:r w:rsidRPr="006144CB">
        <w:rPr>
          <w:szCs w:val="24"/>
        </w:rPr>
        <w:t xml:space="preserve">urgical </w:t>
      </w:r>
      <w:r>
        <w:rPr>
          <w:szCs w:val="24"/>
        </w:rPr>
        <w:t>s</w:t>
      </w:r>
      <w:r w:rsidRPr="006144CB">
        <w:rPr>
          <w:szCs w:val="24"/>
        </w:rPr>
        <w:t>tore</w:t>
      </w:r>
      <w:r>
        <w:rPr>
          <w:szCs w:val="24"/>
        </w:rPr>
        <w:t xml:space="preserve">s amounting to some Rs 30 million were purchased during 2013. </w:t>
      </w:r>
    </w:p>
    <w:p w:rsidR="00986470" w:rsidRDefault="00986470" w:rsidP="002B1576">
      <w:pPr>
        <w:jc w:val="both"/>
        <w:rPr>
          <w:szCs w:val="24"/>
        </w:rPr>
      </w:pPr>
    </w:p>
    <w:p w:rsidR="00986470" w:rsidRDefault="00986470" w:rsidP="002B1576">
      <w:pPr>
        <w:jc w:val="both"/>
        <w:rPr>
          <w:szCs w:val="24"/>
        </w:rPr>
      </w:pPr>
      <w:r>
        <w:rPr>
          <w:szCs w:val="24"/>
        </w:rPr>
        <w:t>Financial Regulations provide for some basic principles of stores management. In respect of physical conditions of stores and store accounting, it is stated, among others, that store rooms and areas should be kept clean and tidy, properly ventilated and weatherproof, fluids contained in tins should, whenever possible, be stored off the ground and a</w:t>
      </w:r>
      <w:r w:rsidRPr="00C14497">
        <w:rPr>
          <w:szCs w:val="24"/>
        </w:rPr>
        <w:t xml:space="preserve">ll </w:t>
      </w:r>
      <w:r>
        <w:rPr>
          <w:szCs w:val="24"/>
        </w:rPr>
        <w:t>S</w:t>
      </w:r>
      <w:r w:rsidRPr="00C14497">
        <w:rPr>
          <w:szCs w:val="24"/>
        </w:rPr>
        <w:t xml:space="preserve">tore </w:t>
      </w:r>
      <w:r>
        <w:rPr>
          <w:szCs w:val="24"/>
        </w:rPr>
        <w:t>L</w:t>
      </w:r>
      <w:r w:rsidRPr="00C14497">
        <w:rPr>
          <w:szCs w:val="24"/>
        </w:rPr>
        <w:t xml:space="preserve">edgers should be self-balancing, with </w:t>
      </w:r>
      <w:r>
        <w:rPr>
          <w:szCs w:val="24"/>
        </w:rPr>
        <w:t>a</w:t>
      </w:r>
      <w:r w:rsidRPr="00C14497">
        <w:rPr>
          <w:szCs w:val="24"/>
        </w:rPr>
        <w:t xml:space="preserve"> new balance being recorded after the entry of each receipt and issue.</w:t>
      </w:r>
      <w:r w:rsidR="00413372">
        <w:rPr>
          <w:szCs w:val="24"/>
        </w:rPr>
        <w:t xml:space="preserve"> </w:t>
      </w:r>
      <w:r>
        <w:rPr>
          <w:szCs w:val="24"/>
        </w:rPr>
        <w:t xml:space="preserve">During a physical survey of stores at the </w:t>
      </w:r>
      <w:r w:rsidRPr="00611792">
        <w:rPr>
          <w:szCs w:val="24"/>
        </w:rPr>
        <w:t>Queen Elizabeth Hospital</w:t>
      </w:r>
      <w:r>
        <w:rPr>
          <w:szCs w:val="24"/>
        </w:rPr>
        <w:t xml:space="preserve"> on 10 March 20</w:t>
      </w:r>
      <w:r w:rsidR="00F728D0">
        <w:rPr>
          <w:szCs w:val="24"/>
        </w:rPr>
        <w:t>14, the following were noted</w:t>
      </w:r>
      <w:r w:rsidR="00A15EB2">
        <w:rPr>
          <w:szCs w:val="24"/>
        </w:rPr>
        <w:t>:</w:t>
      </w:r>
    </w:p>
    <w:p w:rsidR="00986470" w:rsidRPr="00F32FCD" w:rsidRDefault="004A483D" w:rsidP="002B1576">
      <w:pPr>
        <w:pStyle w:val="ListParagraph"/>
        <w:spacing w:line="240" w:lineRule="auto"/>
        <w:ind w:left="0"/>
        <w:jc w:val="both"/>
        <w:rPr>
          <w:rFonts w:ascii="Times New Roman" w:hAnsi="Times New Roman"/>
          <w:b/>
          <w:i/>
          <w:sz w:val="24"/>
          <w:szCs w:val="24"/>
        </w:rPr>
      </w:pPr>
      <w:r>
        <w:rPr>
          <w:rFonts w:ascii="Times New Roman" w:hAnsi="Times New Roman"/>
          <w:b/>
          <w:i/>
          <w:sz w:val="24"/>
          <w:szCs w:val="24"/>
        </w:rPr>
        <w:lastRenderedPageBreak/>
        <w:t xml:space="preserve">5.2.1  </w:t>
      </w:r>
      <w:r w:rsidR="00986470" w:rsidRPr="00F32FCD">
        <w:rPr>
          <w:rFonts w:ascii="Times New Roman" w:hAnsi="Times New Roman"/>
          <w:b/>
          <w:i/>
          <w:sz w:val="24"/>
          <w:szCs w:val="24"/>
        </w:rPr>
        <w:t xml:space="preserve">Surgical Store </w:t>
      </w:r>
    </w:p>
    <w:p w:rsidR="00986470" w:rsidRDefault="00986470" w:rsidP="002B1576">
      <w:pPr>
        <w:jc w:val="both"/>
        <w:rPr>
          <w:szCs w:val="24"/>
        </w:rPr>
      </w:pPr>
      <w:r w:rsidRPr="00611792">
        <w:rPr>
          <w:szCs w:val="24"/>
        </w:rPr>
        <w:t xml:space="preserve">Surgical consumables </w:t>
      </w:r>
      <w:r>
        <w:rPr>
          <w:szCs w:val="24"/>
        </w:rPr>
        <w:t>were</w:t>
      </w:r>
      <w:r w:rsidRPr="00611792">
        <w:rPr>
          <w:szCs w:val="24"/>
        </w:rPr>
        <w:t xml:space="preserve"> stored in </w:t>
      </w:r>
      <w:r>
        <w:rPr>
          <w:szCs w:val="24"/>
        </w:rPr>
        <w:t>two</w:t>
      </w:r>
      <w:r w:rsidRPr="00611792">
        <w:rPr>
          <w:szCs w:val="24"/>
        </w:rPr>
        <w:t xml:space="preserve"> staff quarters</w:t>
      </w:r>
      <w:r>
        <w:rPr>
          <w:szCs w:val="24"/>
        </w:rPr>
        <w:t>,</w:t>
      </w:r>
      <w:r w:rsidRPr="00611792">
        <w:rPr>
          <w:szCs w:val="24"/>
        </w:rPr>
        <w:t xml:space="preserve"> where boxes of items were stacked </w:t>
      </w:r>
      <w:r>
        <w:rPr>
          <w:szCs w:val="24"/>
        </w:rPr>
        <w:t>from</w:t>
      </w:r>
      <w:r w:rsidRPr="00611792">
        <w:rPr>
          <w:szCs w:val="24"/>
        </w:rPr>
        <w:t xml:space="preserve"> the floor up to the ceiling. There w</w:t>
      </w:r>
      <w:r>
        <w:rPr>
          <w:szCs w:val="24"/>
        </w:rPr>
        <w:t xml:space="preserve">as no easy access to </w:t>
      </w:r>
      <w:r w:rsidRPr="00611792">
        <w:rPr>
          <w:szCs w:val="24"/>
        </w:rPr>
        <w:t>the rooms</w:t>
      </w:r>
      <w:r>
        <w:rPr>
          <w:szCs w:val="24"/>
        </w:rPr>
        <w:t>,</w:t>
      </w:r>
      <w:r w:rsidRPr="00611792">
        <w:rPr>
          <w:szCs w:val="24"/>
        </w:rPr>
        <w:t xml:space="preserve"> and there w</w:t>
      </w:r>
      <w:r>
        <w:rPr>
          <w:szCs w:val="24"/>
        </w:rPr>
        <w:t>as</w:t>
      </w:r>
      <w:r w:rsidRPr="00611792">
        <w:rPr>
          <w:szCs w:val="24"/>
        </w:rPr>
        <w:t xml:space="preserve"> no emergency exit door in both quarters.</w:t>
      </w:r>
    </w:p>
    <w:p w:rsidR="00986470" w:rsidRDefault="00986470" w:rsidP="002B1576">
      <w:pPr>
        <w:jc w:val="both"/>
        <w:rPr>
          <w:szCs w:val="24"/>
        </w:rPr>
      </w:pPr>
    </w:p>
    <w:p w:rsidR="00986470" w:rsidRDefault="00986470" w:rsidP="002B1576">
      <w:pPr>
        <w:jc w:val="both"/>
        <w:rPr>
          <w:szCs w:val="24"/>
        </w:rPr>
      </w:pPr>
      <w:r>
        <w:rPr>
          <w:szCs w:val="24"/>
        </w:rPr>
        <w:t>Inflammable gases were</w:t>
      </w:r>
      <w:r w:rsidRPr="00611792">
        <w:rPr>
          <w:szCs w:val="24"/>
        </w:rPr>
        <w:t xml:space="preserve"> stored</w:t>
      </w:r>
      <w:r>
        <w:rPr>
          <w:szCs w:val="24"/>
        </w:rPr>
        <w:t xml:space="preserve"> in another building where r</w:t>
      </w:r>
      <w:r w:rsidRPr="00611792">
        <w:rPr>
          <w:szCs w:val="24"/>
        </w:rPr>
        <w:t xml:space="preserve">isk of fire </w:t>
      </w:r>
      <w:r>
        <w:rPr>
          <w:szCs w:val="24"/>
        </w:rPr>
        <w:t>is</w:t>
      </w:r>
      <w:r w:rsidRPr="00611792">
        <w:rPr>
          <w:szCs w:val="24"/>
        </w:rPr>
        <w:t xml:space="preserve"> high </w:t>
      </w:r>
      <w:r>
        <w:rPr>
          <w:szCs w:val="24"/>
        </w:rPr>
        <w:t>due to lack of ventilation.</w:t>
      </w:r>
      <w:r w:rsidRPr="00611792">
        <w:rPr>
          <w:szCs w:val="24"/>
        </w:rPr>
        <w:t xml:space="preserve"> </w:t>
      </w:r>
    </w:p>
    <w:p w:rsidR="00986470" w:rsidRDefault="00986470" w:rsidP="002B1576">
      <w:pPr>
        <w:jc w:val="both"/>
        <w:rPr>
          <w:szCs w:val="24"/>
        </w:rPr>
      </w:pPr>
    </w:p>
    <w:p w:rsidR="00986470" w:rsidRDefault="00986470" w:rsidP="002B1576">
      <w:pPr>
        <w:jc w:val="both"/>
        <w:rPr>
          <w:szCs w:val="24"/>
        </w:rPr>
      </w:pPr>
    </w:p>
    <w:p w:rsidR="00986470" w:rsidRPr="00F32FCD" w:rsidRDefault="004A483D" w:rsidP="002B1576">
      <w:pPr>
        <w:jc w:val="both"/>
        <w:rPr>
          <w:b/>
          <w:i/>
          <w:szCs w:val="24"/>
        </w:rPr>
      </w:pPr>
      <w:r>
        <w:rPr>
          <w:b/>
          <w:i/>
          <w:szCs w:val="24"/>
        </w:rPr>
        <w:t xml:space="preserve">5.2.2  </w:t>
      </w:r>
      <w:r w:rsidR="00986470" w:rsidRPr="00F32FCD">
        <w:rPr>
          <w:b/>
          <w:i/>
          <w:szCs w:val="24"/>
        </w:rPr>
        <w:t>Main Store of the Pharmacy Section</w:t>
      </w:r>
    </w:p>
    <w:p w:rsidR="00986470" w:rsidRDefault="00986470" w:rsidP="002B1576">
      <w:pPr>
        <w:jc w:val="both"/>
        <w:rPr>
          <w:i/>
          <w:szCs w:val="24"/>
        </w:rPr>
      </w:pPr>
    </w:p>
    <w:p w:rsidR="00986470" w:rsidRDefault="00986470" w:rsidP="002B1576">
      <w:pPr>
        <w:pStyle w:val="ListParagraph"/>
        <w:spacing w:line="240" w:lineRule="auto"/>
        <w:ind w:left="0"/>
        <w:jc w:val="both"/>
        <w:rPr>
          <w:rFonts w:ascii="Times New Roman" w:hAnsi="Times New Roman"/>
          <w:sz w:val="24"/>
          <w:szCs w:val="24"/>
        </w:rPr>
      </w:pPr>
      <w:r>
        <w:rPr>
          <w:rFonts w:ascii="Times New Roman" w:hAnsi="Times New Roman"/>
          <w:sz w:val="24"/>
          <w:szCs w:val="24"/>
        </w:rPr>
        <w:t>At the Pharmacy Main Store, d</w:t>
      </w:r>
      <w:r w:rsidRPr="00755E09">
        <w:rPr>
          <w:rFonts w:ascii="Times New Roman" w:hAnsi="Times New Roman"/>
          <w:sz w:val="24"/>
          <w:szCs w:val="24"/>
        </w:rPr>
        <w:t xml:space="preserve">rugs were stored </w:t>
      </w:r>
      <w:r>
        <w:rPr>
          <w:rFonts w:ascii="Times New Roman" w:hAnsi="Times New Roman"/>
          <w:sz w:val="24"/>
          <w:szCs w:val="24"/>
        </w:rPr>
        <w:t>from</w:t>
      </w:r>
      <w:r w:rsidRPr="00755E09">
        <w:rPr>
          <w:rFonts w:ascii="Times New Roman" w:hAnsi="Times New Roman"/>
          <w:sz w:val="24"/>
          <w:szCs w:val="24"/>
        </w:rPr>
        <w:t xml:space="preserve"> the floor </w:t>
      </w:r>
      <w:r>
        <w:rPr>
          <w:rFonts w:ascii="Times New Roman" w:hAnsi="Times New Roman"/>
          <w:sz w:val="24"/>
          <w:szCs w:val="24"/>
        </w:rPr>
        <w:t>to</w:t>
      </w:r>
      <w:r w:rsidRPr="00755E09">
        <w:rPr>
          <w:rFonts w:ascii="Times New Roman" w:hAnsi="Times New Roman"/>
          <w:sz w:val="24"/>
          <w:szCs w:val="24"/>
        </w:rPr>
        <w:t xml:space="preserve"> the ceiling.</w:t>
      </w:r>
      <w:r>
        <w:rPr>
          <w:rFonts w:ascii="Times New Roman" w:hAnsi="Times New Roman"/>
          <w:sz w:val="24"/>
          <w:szCs w:val="24"/>
        </w:rPr>
        <w:t xml:space="preserve"> Cold items were stored in </w:t>
      </w:r>
      <w:r w:rsidRPr="00755E09">
        <w:rPr>
          <w:rFonts w:ascii="Times New Roman" w:hAnsi="Times New Roman"/>
          <w:sz w:val="24"/>
          <w:szCs w:val="24"/>
        </w:rPr>
        <w:t xml:space="preserve">domestic refrigerators </w:t>
      </w:r>
      <w:r>
        <w:rPr>
          <w:rFonts w:ascii="Times New Roman" w:hAnsi="Times New Roman"/>
          <w:sz w:val="24"/>
          <w:szCs w:val="24"/>
        </w:rPr>
        <w:t xml:space="preserve">instead of biomedical refrigerators. </w:t>
      </w:r>
    </w:p>
    <w:p w:rsidR="00986470" w:rsidRDefault="00986470" w:rsidP="002B1576">
      <w:pPr>
        <w:pStyle w:val="ListParagraph"/>
        <w:spacing w:line="240" w:lineRule="auto"/>
        <w:ind w:left="0"/>
        <w:jc w:val="both"/>
        <w:rPr>
          <w:rFonts w:ascii="Times New Roman" w:hAnsi="Times New Roman"/>
          <w:sz w:val="24"/>
          <w:szCs w:val="24"/>
        </w:rPr>
      </w:pPr>
    </w:p>
    <w:p w:rsidR="00986470" w:rsidRDefault="00986470" w:rsidP="002B1576">
      <w:pPr>
        <w:pStyle w:val="ListParagraph"/>
        <w:spacing w:line="240" w:lineRule="auto"/>
        <w:ind w:left="0"/>
        <w:jc w:val="both"/>
        <w:rPr>
          <w:rFonts w:ascii="Times New Roman" w:hAnsi="Times New Roman"/>
          <w:sz w:val="24"/>
          <w:szCs w:val="24"/>
        </w:rPr>
      </w:pPr>
      <w:r w:rsidRPr="00755E09">
        <w:rPr>
          <w:rFonts w:ascii="Times New Roman" w:hAnsi="Times New Roman"/>
          <w:sz w:val="24"/>
          <w:szCs w:val="24"/>
        </w:rPr>
        <w:t xml:space="preserve">Electrolytes were stored in a building which was previously used as a </w:t>
      </w:r>
      <w:r>
        <w:rPr>
          <w:rFonts w:ascii="Times New Roman" w:hAnsi="Times New Roman"/>
          <w:sz w:val="24"/>
          <w:szCs w:val="24"/>
        </w:rPr>
        <w:t>m</w:t>
      </w:r>
      <w:r w:rsidRPr="00755E09">
        <w:rPr>
          <w:rFonts w:ascii="Times New Roman" w:hAnsi="Times New Roman"/>
          <w:sz w:val="24"/>
          <w:szCs w:val="24"/>
        </w:rPr>
        <w:t>ortuary</w:t>
      </w:r>
      <w:r>
        <w:rPr>
          <w:rFonts w:ascii="Times New Roman" w:hAnsi="Times New Roman"/>
          <w:sz w:val="24"/>
          <w:szCs w:val="24"/>
        </w:rPr>
        <w:t>, and where the room temperature was not appropriate for such items.</w:t>
      </w:r>
      <w:r w:rsidRPr="00D04693">
        <w:rPr>
          <w:rFonts w:ascii="Times New Roman" w:hAnsi="Times New Roman"/>
          <w:sz w:val="24"/>
          <w:szCs w:val="24"/>
        </w:rPr>
        <w:t xml:space="preserve"> </w:t>
      </w:r>
    </w:p>
    <w:p w:rsidR="00986470" w:rsidRDefault="00986470" w:rsidP="002B1576">
      <w:pPr>
        <w:pStyle w:val="ListParagraph"/>
        <w:spacing w:line="240" w:lineRule="auto"/>
        <w:ind w:left="0"/>
        <w:jc w:val="both"/>
        <w:rPr>
          <w:rFonts w:ascii="Times New Roman" w:hAnsi="Times New Roman"/>
          <w:b/>
          <w:sz w:val="24"/>
          <w:szCs w:val="24"/>
        </w:rPr>
      </w:pPr>
    </w:p>
    <w:p w:rsidR="00986470" w:rsidRDefault="00986470" w:rsidP="002B1576">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Store Ledgers were not always kept updated. For instance, as of 6 March 2014, receipts were posted up to 30 September 2013. </w:t>
      </w:r>
    </w:p>
    <w:p w:rsidR="00986470" w:rsidRDefault="00986470" w:rsidP="002B1576">
      <w:pPr>
        <w:pStyle w:val="ListParagraph"/>
        <w:spacing w:line="240" w:lineRule="auto"/>
        <w:ind w:left="0"/>
        <w:jc w:val="both"/>
        <w:rPr>
          <w:rFonts w:ascii="Times New Roman" w:hAnsi="Times New Roman"/>
          <w:sz w:val="24"/>
          <w:szCs w:val="24"/>
        </w:rPr>
      </w:pPr>
    </w:p>
    <w:p w:rsidR="00986470" w:rsidRDefault="00986470" w:rsidP="002B1576">
      <w:pPr>
        <w:pStyle w:val="ListParagraph"/>
        <w:spacing w:line="240" w:lineRule="auto"/>
        <w:ind w:left="0"/>
        <w:jc w:val="both"/>
        <w:rPr>
          <w:rFonts w:ascii="Times New Roman" w:hAnsi="Times New Roman"/>
          <w:sz w:val="24"/>
          <w:szCs w:val="24"/>
        </w:rPr>
      </w:pPr>
    </w:p>
    <w:p w:rsidR="00986470" w:rsidRPr="00F32FCD" w:rsidRDefault="00986470" w:rsidP="002B1576">
      <w:pPr>
        <w:pStyle w:val="ListParagraph"/>
        <w:spacing w:line="240" w:lineRule="auto"/>
        <w:ind w:left="0"/>
        <w:jc w:val="both"/>
        <w:rPr>
          <w:rFonts w:ascii="Times New Roman" w:hAnsi="Times New Roman"/>
          <w:b/>
          <w:i/>
          <w:sz w:val="24"/>
          <w:szCs w:val="24"/>
        </w:rPr>
      </w:pPr>
      <w:r w:rsidRPr="00F32FCD">
        <w:rPr>
          <w:rFonts w:ascii="Times New Roman" w:hAnsi="Times New Roman"/>
          <w:b/>
          <w:i/>
          <w:sz w:val="24"/>
          <w:szCs w:val="24"/>
        </w:rPr>
        <w:t>Recommendation</w:t>
      </w:r>
    </w:p>
    <w:p w:rsidR="00986470" w:rsidRPr="00906BCF" w:rsidRDefault="00986470" w:rsidP="002B1576">
      <w:pPr>
        <w:pStyle w:val="ListParagraph"/>
        <w:spacing w:line="240" w:lineRule="auto"/>
        <w:ind w:left="0"/>
        <w:jc w:val="both"/>
        <w:rPr>
          <w:rFonts w:ascii="Times New Roman" w:hAnsi="Times New Roman"/>
          <w:b/>
          <w:sz w:val="24"/>
          <w:szCs w:val="24"/>
        </w:rPr>
      </w:pPr>
    </w:p>
    <w:p w:rsidR="00986470" w:rsidRDefault="00986470" w:rsidP="002B1576">
      <w:pPr>
        <w:pStyle w:val="ListParagraph"/>
        <w:spacing w:line="240" w:lineRule="auto"/>
        <w:ind w:left="0"/>
        <w:jc w:val="both"/>
        <w:rPr>
          <w:rFonts w:ascii="Times New Roman" w:hAnsi="Times New Roman"/>
          <w:sz w:val="24"/>
          <w:szCs w:val="24"/>
        </w:rPr>
      </w:pPr>
      <w:r>
        <w:rPr>
          <w:rFonts w:ascii="Times New Roman" w:hAnsi="Times New Roman"/>
          <w:sz w:val="24"/>
          <w:szCs w:val="24"/>
        </w:rPr>
        <w:t>Appropriate measures should be taken for proper storage of the medical items.</w:t>
      </w:r>
    </w:p>
    <w:p w:rsidR="00986470" w:rsidRDefault="00986470" w:rsidP="002B1576">
      <w:pPr>
        <w:pStyle w:val="ListParagraph"/>
        <w:spacing w:line="240" w:lineRule="auto"/>
        <w:ind w:left="0"/>
        <w:jc w:val="both"/>
        <w:rPr>
          <w:rFonts w:ascii="Times New Roman" w:hAnsi="Times New Roman"/>
          <w:sz w:val="24"/>
          <w:szCs w:val="24"/>
        </w:rPr>
      </w:pPr>
    </w:p>
    <w:p w:rsidR="00986470" w:rsidRPr="00511967" w:rsidRDefault="00986470" w:rsidP="002B1576">
      <w:pPr>
        <w:pStyle w:val="ListParagraph"/>
        <w:spacing w:after="0" w:line="240" w:lineRule="auto"/>
        <w:ind w:left="0"/>
        <w:jc w:val="both"/>
        <w:rPr>
          <w:rFonts w:ascii="Times New Roman" w:hAnsi="Times New Roman"/>
          <w:b/>
          <w:i/>
          <w:sz w:val="24"/>
          <w:szCs w:val="24"/>
        </w:rPr>
      </w:pPr>
    </w:p>
    <w:p w:rsidR="00986470" w:rsidRDefault="00986470" w:rsidP="002B1576">
      <w:pPr>
        <w:pStyle w:val="ListParagraph"/>
        <w:spacing w:after="0" w:line="240" w:lineRule="auto"/>
        <w:ind w:left="0"/>
        <w:jc w:val="both"/>
        <w:rPr>
          <w:rFonts w:ascii="Times New Roman" w:hAnsi="Times New Roman"/>
          <w:b/>
          <w:i/>
          <w:sz w:val="24"/>
          <w:szCs w:val="24"/>
        </w:rPr>
      </w:pPr>
      <w:r w:rsidRPr="00511967">
        <w:rPr>
          <w:rFonts w:ascii="Times New Roman" w:hAnsi="Times New Roman"/>
          <w:b/>
          <w:i/>
          <w:sz w:val="24"/>
          <w:szCs w:val="24"/>
        </w:rPr>
        <w:t>RRA’s Reply</w:t>
      </w:r>
    </w:p>
    <w:p w:rsidR="00986470" w:rsidRDefault="00986470" w:rsidP="002B1576">
      <w:pPr>
        <w:pStyle w:val="ListParagraph"/>
        <w:spacing w:after="0" w:line="240" w:lineRule="auto"/>
        <w:ind w:left="0"/>
        <w:jc w:val="both"/>
        <w:rPr>
          <w:rFonts w:ascii="Times New Roman" w:hAnsi="Times New Roman"/>
          <w:b/>
          <w:i/>
          <w:sz w:val="24"/>
          <w:szCs w:val="24"/>
        </w:rPr>
      </w:pPr>
    </w:p>
    <w:p w:rsidR="00986470" w:rsidRDefault="00986470" w:rsidP="002B15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Provision is being made in 2015 budget for proper storage shelves and facilities in Surgical and Main Store of Pharmacy.</w:t>
      </w:r>
    </w:p>
    <w:p w:rsidR="00986470" w:rsidRDefault="00986470" w:rsidP="002B1576">
      <w:pPr>
        <w:autoSpaceDE w:val="0"/>
        <w:autoSpaceDN w:val="0"/>
        <w:adjustRightInd w:val="0"/>
        <w:jc w:val="both"/>
        <w:rPr>
          <w:rFonts w:eastAsia="Calibri"/>
          <w:b/>
          <w:bCs/>
          <w:szCs w:val="24"/>
          <w:lang w:val="en-US"/>
        </w:rPr>
      </w:pPr>
    </w:p>
    <w:p w:rsidR="00986470" w:rsidRDefault="00986470" w:rsidP="002B1576">
      <w:pPr>
        <w:autoSpaceDE w:val="0"/>
        <w:autoSpaceDN w:val="0"/>
        <w:adjustRightInd w:val="0"/>
        <w:jc w:val="both"/>
        <w:rPr>
          <w:rFonts w:eastAsia="Calibri"/>
          <w:b/>
          <w:bCs/>
          <w:szCs w:val="24"/>
          <w:lang w:val="en-US"/>
        </w:rPr>
      </w:pPr>
    </w:p>
    <w:p w:rsidR="00F728D0" w:rsidRDefault="00F728D0" w:rsidP="002B1576">
      <w:pPr>
        <w:spacing w:after="200"/>
        <w:rPr>
          <w:rFonts w:eastAsia="Calibri"/>
          <w:b/>
          <w:bCs/>
          <w:szCs w:val="24"/>
          <w:lang w:val="en-US"/>
        </w:rPr>
        <w:sectPr w:rsidR="00F728D0" w:rsidSect="00F728D0">
          <w:headerReference w:type="default" r:id="rId21"/>
          <w:footerReference w:type="default" r:id="rId22"/>
          <w:headerReference w:type="first" r:id="rId23"/>
          <w:pgSz w:w="11907" w:h="16839" w:code="9"/>
          <w:pgMar w:top="1440" w:right="1440" w:bottom="1440" w:left="1440" w:header="706" w:footer="432" w:gutter="0"/>
          <w:cols w:space="708"/>
          <w:titlePg/>
          <w:docGrid w:linePitch="326"/>
        </w:sectPr>
      </w:pPr>
    </w:p>
    <w:p w:rsidR="007B034E" w:rsidRDefault="007B034E" w:rsidP="002B1576">
      <w:pPr>
        <w:spacing w:after="200"/>
        <w:rPr>
          <w:rFonts w:eastAsia="Calibri"/>
          <w:b/>
          <w:bCs/>
          <w:szCs w:val="24"/>
          <w:lang w:val="en-US"/>
        </w:rPr>
      </w:pPr>
    </w:p>
    <w:p w:rsidR="0000691A" w:rsidRPr="00BD74A8" w:rsidRDefault="007B034E" w:rsidP="002B1576">
      <w:pPr>
        <w:autoSpaceDE w:val="0"/>
        <w:autoSpaceDN w:val="0"/>
        <w:adjustRightInd w:val="0"/>
        <w:jc w:val="both"/>
        <w:rPr>
          <w:rFonts w:eastAsia="Calibri"/>
          <w:b/>
          <w:bCs/>
          <w:szCs w:val="24"/>
          <w:lang w:val="en-US"/>
        </w:rPr>
      </w:pPr>
      <w:r>
        <w:rPr>
          <w:rFonts w:eastAsia="Calibri"/>
          <w:b/>
          <w:bCs/>
          <w:szCs w:val="24"/>
          <w:lang w:val="en-US"/>
        </w:rPr>
        <w:t xml:space="preserve">6.1 </w:t>
      </w:r>
      <w:r w:rsidR="004A483D">
        <w:rPr>
          <w:rFonts w:eastAsia="Calibri"/>
          <w:b/>
          <w:bCs/>
          <w:szCs w:val="24"/>
          <w:lang w:val="en-US"/>
        </w:rPr>
        <w:t xml:space="preserve"> </w:t>
      </w:r>
      <w:r w:rsidR="0000691A" w:rsidRPr="00BD74A8">
        <w:rPr>
          <w:rFonts w:eastAsia="Calibri"/>
          <w:b/>
          <w:bCs/>
          <w:szCs w:val="24"/>
          <w:lang w:val="en-US"/>
        </w:rPr>
        <w:t>Assistance to Professional Fishermen</w:t>
      </w:r>
      <w:r w:rsidR="0090103C">
        <w:rPr>
          <w:rFonts w:eastAsia="Calibri"/>
          <w:b/>
          <w:bCs/>
          <w:szCs w:val="24"/>
          <w:lang w:val="en-US"/>
        </w:rPr>
        <w:t xml:space="preserve"> </w:t>
      </w:r>
      <w:r w:rsidR="0000691A" w:rsidRPr="00BD74A8">
        <w:rPr>
          <w:rFonts w:eastAsia="Calibri"/>
          <w:b/>
          <w:bCs/>
          <w:szCs w:val="24"/>
          <w:lang w:val="en-US"/>
        </w:rPr>
        <w:t>- Rs 44,098,967</w:t>
      </w:r>
    </w:p>
    <w:p w:rsidR="0000691A" w:rsidRPr="00BD74A8" w:rsidRDefault="0000691A" w:rsidP="002B1576">
      <w:pPr>
        <w:autoSpaceDE w:val="0"/>
        <w:autoSpaceDN w:val="0"/>
        <w:adjustRightInd w:val="0"/>
        <w:jc w:val="both"/>
        <w:rPr>
          <w:rFonts w:eastAsia="Calibri"/>
          <w:szCs w:val="24"/>
          <w:lang w:val="en-US"/>
        </w:rPr>
      </w:pPr>
    </w:p>
    <w:p w:rsidR="0000691A" w:rsidRPr="00BD74A8" w:rsidRDefault="0000691A" w:rsidP="002B1576">
      <w:pPr>
        <w:autoSpaceDE w:val="0"/>
        <w:autoSpaceDN w:val="0"/>
        <w:adjustRightInd w:val="0"/>
        <w:jc w:val="both"/>
        <w:rPr>
          <w:rFonts w:eastAsia="Calibri"/>
          <w:szCs w:val="24"/>
          <w:lang w:val="en-US"/>
        </w:rPr>
      </w:pPr>
      <w:r w:rsidRPr="00BD74A8">
        <w:rPr>
          <w:rFonts w:eastAsia="Calibri"/>
          <w:szCs w:val="24"/>
          <w:lang w:val="en-US"/>
        </w:rPr>
        <w:t xml:space="preserve">Bad Weather Allowance (BWA) is paid to all registered professional fishermen on days which are declared as bad weather by the Meteorological Services. In June 2006, Government decided to change the criteria for payment of the allowance and the Island of </w:t>
      </w:r>
      <w:proofErr w:type="spellStart"/>
      <w:r w:rsidRPr="00BD74A8">
        <w:rPr>
          <w:rFonts w:eastAsia="Calibri"/>
          <w:szCs w:val="24"/>
          <w:lang w:val="en-US"/>
        </w:rPr>
        <w:t>Rodrigues</w:t>
      </w:r>
      <w:proofErr w:type="spellEnd"/>
      <w:r w:rsidRPr="00BD74A8">
        <w:rPr>
          <w:rFonts w:eastAsia="Calibri"/>
          <w:szCs w:val="24"/>
          <w:lang w:val="en-US"/>
        </w:rPr>
        <w:t xml:space="preserve"> was divided into four zones for the purpose of assessment of state of sea in the lagoon. As regards the off-lagoon, the state of the sea was to be the same everywhere.</w:t>
      </w:r>
    </w:p>
    <w:p w:rsidR="0000691A" w:rsidRPr="00BD74A8" w:rsidRDefault="0000691A" w:rsidP="002B1576">
      <w:pPr>
        <w:autoSpaceDE w:val="0"/>
        <w:autoSpaceDN w:val="0"/>
        <w:adjustRightInd w:val="0"/>
        <w:jc w:val="both"/>
        <w:rPr>
          <w:rFonts w:ascii="Calibri" w:eastAsia="Calibri" w:hAnsi="Calibri"/>
          <w:sz w:val="22"/>
          <w:szCs w:val="22"/>
          <w:lang w:val="en-US"/>
        </w:rPr>
      </w:pPr>
    </w:p>
    <w:p w:rsidR="0000691A" w:rsidRPr="00BD74A8" w:rsidRDefault="0000691A" w:rsidP="002B1576">
      <w:pPr>
        <w:autoSpaceDE w:val="0"/>
        <w:autoSpaceDN w:val="0"/>
        <w:adjustRightInd w:val="0"/>
        <w:jc w:val="both"/>
        <w:rPr>
          <w:rFonts w:eastAsia="Calibri"/>
          <w:szCs w:val="24"/>
          <w:lang w:val="en-US"/>
        </w:rPr>
      </w:pPr>
      <w:r w:rsidRPr="00BD74A8">
        <w:rPr>
          <w:rFonts w:eastAsia="Calibri"/>
          <w:szCs w:val="24"/>
          <w:lang w:val="en-US"/>
        </w:rPr>
        <w:t>During 2013, a total amount of Rs 44,098,967, including arrears of Rs 15,706,562 was paid to fisherm</w:t>
      </w:r>
      <w:r w:rsidR="00D708DA">
        <w:rPr>
          <w:rFonts w:eastAsia="Calibri"/>
          <w:szCs w:val="24"/>
          <w:lang w:val="en-US"/>
        </w:rPr>
        <w:t>e</w:t>
      </w:r>
      <w:r w:rsidRPr="00BD74A8">
        <w:rPr>
          <w:rFonts w:eastAsia="Calibri"/>
          <w:szCs w:val="24"/>
          <w:lang w:val="en-US"/>
        </w:rPr>
        <w:t>n.</w:t>
      </w:r>
    </w:p>
    <w:p w:rsidR="0000691A" w:rsidRPr="00BD74A8" w:rsidRDefault="0000691A" w:rsidP="002B1576">
      <w:pPr>
        <w:spacing w:after="200"/>
        <w:jc w:val="both"/>
        <w:rPr>
          <w:rFonts w:eastAsia="Calibri"/>
          <w:bCs/>
          <w:i/>
          <w:szCs w:val="24"/>
          <w:lang w:val="en-US"/>
        </w:rPr>
      </w:pPr>
    </w:p>
    <w:p w:rsidR="0000691A" w:rsidRPr="004A483D" w:rsidRDefault="004A483D" w:rsidP="002B1576">
      <w:pPr>
        <w:spacing w:after="200"/>
        <w:jc w:val="both"/>
        <w:rPr>
          <w:rFonts w:eastAsia="Calibri"/>
          <w:b/>
          <w:bCs/>
          <w:i/>
          <w:szCs w:val="24"/>
          <w:lang w:val="en-US"/>
        </w:rPr>
      </w:pPr>
      <w:r>
        <w:rPr>
          <w:rFonts w:eastAsia="Calibri"/>
          <w:b/>
          <w:bCs/>
          <w:i/>
          <w:szCs w:val="24"/>
          <w:lang w:val="en-US"/>
        </w:rPr>
        <w:t xml:space="preserve">6.1.1  </w:t>
      </w:r>
      <w:r w:rsidR="0000691A" w:rsidRPr="004A483D">
        <w:rPr>
          <w:rFonts w:eastAsia="Calibri"/>
          <w:b/>
          <w:bCs/>
          <w:i/>
          <w:szCs w:val="24"/>
          <w:lang w:val="en-US"/>
        </w:rPr>
        <w:t>Arrears of BWA-</w:t>
      </w:r>
      <w:r w:rsidR="0000691A" w:rsidRPr="004A483D">
        <w:rPr>
          <w:rFonts w:eastAsia="Calibri"/>
          <w:b/>
          <w:i/>
          <w:szCs w:val="24"/>
          <w:lang w:val="en-US"/>
        </w:rPr>
        <w:t xml:space="preserve"> Rs 15,706,562</w:t>
      </w:r>
    </w:p>
    <w:p w:rsidR="0000691A" w:rsidRPr="00BD74A8" w:rsidRDefault="0000691A" w:rsidP="002B1576">
      <w:pPr>
        <w:spacing w:after="200"/>
        <w:jc w:val="both"/>
        <w:rPr>
          <w:rFonts w:eastAsia="Calibri"/>
          <w:bCs/>
          <w:szCs w:val="24"/>
          <w:lang w:val="en-US"/>
        </w:rPr>
      </w:pPr>
      <w:r w:rsidRPr="00BD74A8">
        <w:rPr>
          <w:rFonts w:eastAsia="Calibri"/>
          <w:bCs/>
          <w:szCs w:val="24"/>
          <w:lang w:val="en-US"/>
        </w:rPr>
        <w:t>The allowance is paid according to rates established under Social Aid Regulations</w:t>
      </w:r>
      <w:r w:rsidR="00ED1D0B">
        <w:rPr>
          <w:rFonts w:eastAsia="Calibri"/>
          <w:bCs/>
          <w:szCs w:val="24"/>
          <w:lang w:val="en-US"/>
        </w:rPr>
        <w:t>,</w:t>
      </w:r>
      <w:r w:rsidRPr="00BD74A8">
        <w:rPr>
          <w:rFonts w:eastAsia="Calibri"/>
          <w:bCs/>
          <w:szCs w:val="24"/>
          <w:lang w:val="en-US"/>
        </w:rPr>
        <w:t xml:space="preserve"> as subsequently amended. Amendments brought in the Regulations have been overlooked for payments between January 2008 to August 2013. As a result, fishermen had been underpaid a total amount of   Rs 15,706,562.</w:t>
      </w:r>
    </w:p>
    <w:p w:rsidR="0000691A" w:rsidRPr="00BD74A8" w:rsidRDefault="0000691A" w:rsidP="002B1576">
      <w:pPr>
        <w:spacing w:after="200"/>
        <w:jc w:val="both"/>
        <w:rPr>
          <w:rFonts w:eastAsia="Calibri"/>
          <w:iCs/>
          <w:szCs w:val="24"/>
          <w:lang w:val="en-US"/>
        </w:rPr>
      </w:pPr>
      <w:r w:rsidRPr="00BD74A8">
        <w:rPr>
          <w:rFonts w:eastAsia="Calibri"/>
          <w:bCs/>
          <w:szCs w:val="24"/>
          <w:lang w:val="en-US"/>
        </w:rPr>
        <w:t xml:space="preserve">In December 2013, the fishermen were refunded the sum of Rs 15,706,562. </w:t>
      </w:r>
      <w:r w:rsidRPr="00BD74A8">
        <w:rPr>
          <w:rFonts w:eastAsia="Calibri"/>
          <w:szCs w:val="24"/>
          <w:lang w:val="en-US"/>
        </w:rPr>
        <w:t>However, a scrutiny of the payment vouchers revealed that they were neither verified nor certified by the responsible officers prior to payment. Also, no mention was made whether the fishermen were registered as off-lagoon, lagoon/off-lagoon, lagoon or closed season and of their respective fishing zones.</w:t>
      </w:r>
      <w:r w:rsidRPr="00BD74A8">
        <w:rPr>
          <w:rFonts w:eastAsia="Calibri"/>
          <w:iCs/>
          <w:szCs w:val="24"/>
          <w:lang w:val="en-US"/>
        </w:rPr>
        <w:t xml:space="preserve"> </w:t>
      </w:r>
    </w:p>
    <w:p w:rsidR="0000691A" w:rsidRPr="00BD74A8" w:rsidRDefault="0000691A" w:rsidP="002B1576">
      <w:pPr>
        <w:spacing w:after="200"/>
        <w:jc w:val="both"/>
        <w:rPr>
          <w:rFonts w:eastAsia="Calibri"/>
          <w:bCs/>
          <w:szCs w:val="24"/>
          <w:lang w:val="en-US"/>
        </w:rPr>
      </w:pPr>
      <w:r w:rsidRPr="00BD74A8">
        <w:rPr>
          <w:rFonts w:eastAsia="Calibri"/>
          <w:bCs/>
          <w:szCs w:val="24"/>
          <w:lang w:val="en-US"/>
        </w:rPr>
        <w:t>On 7 January 2014, the Ministry of Finance and Economic Development advised that an enquiry be carried out</w:t>
      </w:r>
      <w:r w:rsidR="00D708DA">
        <w:rPr>
          <w:rFonts w:eastAsia="Calibri"/>
          <w:bCs/>
          <w:szCs w:val="24"/>
          <w:lang w:val="en-US"/>
        </w:rPr>
        <w:t>,</w:t>
      </w:r>
      <w:r w:rsidRPr="00BD74A8">
        <w:rPr>
          <w:rFonts w:eastAsia="Calibri"/>
          <w:bCs/>
          <w:szCs w:val="24"/>
          <w:lang w:val="en-US"/>
        </w:rPr>
        <w:t xml:space="preserve"> given that </w:t>
      </w:r>
      <w:r w:rsidR="00D708DA">
        <w:rPr>
          <w:rFonts w:eastAsia="Calibri"/>
          <w:bCs/>
          <w:szCs w:val="24"/>
          <w:lang w:val="en-US"/>
        </w:rPr>
        <w:t xml:space="preserve">the </w:t>
      </w:r>
      <w:r w:rsidRPr="00BD74A8">
        <w:rPr>
          <w:rFonts w:eastAsia="Calibri"/>
          <w:bCs/>
          <w:szCs w:val="24"/>
          <w:lang w:val="en-US"/>
        </w:rPr>
        <w:t>arrears related to a period covering more than five years. By the time the Ministry recommended for an enquiry, payments had already been effected.</w:t>
      </w:r>
    </w:p>
    <w:p w:rsidR="0000691A" w:rsidRDefault="0000691A" w:rsidP="002B1576">
      <w:pPr>
        <w:jc w:val="both"/>
        <w:rPr>
          <w:rFonts w:eastAsia="Calibri"/>
          <w:bCs/>
          <w:i/>
          <w:szCs w:val="24"/>
          <w:lang w:val="en-US"/>
        </w:rPr>
      </w:pPr>
    </w:p>
    <w:p w:rsidR="0000691A" w:rsidRPr="004A483D" w:rsidRDefault="004A483D" w:rsidP="002B1576">
      <w:pPr>
        <w:spacing w:after="200"/>
        <w:jc w:val="both"/>
        <w:rPr>
          <w:rFonts w:eastAsia="Calibri"/>
          <w:b/>
          <w:bCs/>
          <w:i/>
          <w:szCs w:val="24"/>
          <w:lang w:val="en-US"/>
        </w:rPr>
      </w:pPr>
      <w:r>
        <w:rPr>
          <w:rFonts w:eastAsia="Calibri"/>
          <w:b/>
          <w:bCs/>
          <w:i/>
          <w:szCs w:val="24"/>
          <w:lang w:val="en-US"/>
        </w:rPr>
        <w:t xml:space="preserve">6.1.2  </w:t>
      </w:r>
      <w:r w:rsidR="0000691A" w:rsidRPr="004A483D">
        <w:rPr>
          <w:rFonts w:eastAsia="Calibri"/>
          <w:b/>
          <w:bCs/>
          <w:i/>
          <w:szCs w:val="24"/>
          <w:lang w:val="en-US"/>
        </w:rPr>
        <w:t>Recovery of Overpayments- Rs 15,394,731</w:t>
      </w:r>
    </w:p>
    <w:p w:rsidR="0000691A" w:rsidRPr="00BD74A8" w:rsidRDefault="0000691A" w:rsidP="002B1576">
      <w:pPr>
        <w:spacing w:after="200"/>
        <w:jc w:val="both"/>
        <w:rPr>
          <w:rFonts w:eastAsia="Calibri"/>
          <w:bCs/>
          <w:szCs w:val="24"/>
          <w:lang w:val="en-US"/>
        </w:rPr>
      </w:pPr>
      <w:r w:rsidRPr="00BD74A8">
        <w:rPr>
          <w:rFonts w:eastAsia="Calibri"/>
          <w:iCs/>
          <w:szCs w:val="24"/>
          <w:lang w:val="en-US"/>
        </w:rPr>
        <w:t xml:space="preserve">Arrears of Rs </w:t>
      </w:r>
      <w:r w:rsidRPr="00BD74A8">
        <w:rPr>
          <w:rFonts w:eastAsia="Calibri"/>
          <w:bCs/>
          <w:szCs w:val="24"/>
          <w:lang w:val="en-US"/>
        </w:rPr>
        <w:t xml:space="preserve">15,706,562 had been refunded to the fishermen without giving due consideration to the overpayments of Rs 15,394,731 made in 2006-07. In that financial year, </w:t>
      </w:r>
      <w:r w:rsidRPr="00BD74A8">
        <w:rPr>
          <w:rFonts w:eastAsia="Calibri"/>
          <w:iCs/>
          <w:szCs w:val="24"/>
          <w:lang w:val="en-US"/>
        </w:rPr>
        <w:t>various payments were not in line with the Social Aid Regulations and criteria established by Government. This resulted in the overpayment</w:t>
      </w:r>
      <w:r w:rsidR="00D708DA">
        <w:rPr>
          <w:rFonts w:eastAsia="Calibri"/>
          <w:iCs/>
          <w:szCs w:val="24"/>
          <w:lang w:val="en-US"/>
        </w:rPr>
        <w:t>s</w:t>
      </w:r>
      <w:r w:rsidRPr="00BD74A8">
        <w:rPr>
          <w:rFonts w:eastAsia="Calibri"/>
          <w:iCs/>
          <w:szCs w:val="24"/>
          <w:lang w:val="en-US"/>
        </w:rPr>
        <w:t xml:space="preserve">.  </w:t>
      </w:r>
    </w:p>
    <w:p w:rsidR="0000691A" w:rsidRPr="00BD74A8" w:rsidRDefault="0000691A" w:rsidP="002B1576">
      <w:pPr>
        <w:spacing w:after="200"/>
        <w:jc w:val="both"/>
        <w:rPr>
          <w:rFonts w:eastAsia="Calibri"/>
          <w:bCs/>
          <w:szCs w:val="24"/>
          <w:lang w:val="en-US"/>
        </w:rPr>
      </w:pPr>
      <w:r w:rsidRPr="00BD74A8">
        <w:rPr>
          <w:rFonts w:eastAsia="Calibri"/>
          <w:bCs/>
          <w:szCs w:val="24"/>
          <w:lang w:val="en-US"/>
        </w:rPr>
        <w:t xml:space="preserve">As of 31 March 2014, the amount overpaid was not yet recovered. </w:t>
      </w:r>
    </w:p>
    <w:p w:rsidR="00F32FCD" w:rsidRDefault="00F32FCD" w:rsidP="002B1576">
      <w:pPr>
        <w:jc w:val="both"/>
        <w:rPr>
          <w:rFonts w:eastAsia="Calibri"/>
          <w:bCs/>
          <w:i/>
          <w:szCs w:val="24"/>
          <w:lang w:val="en-US"/>
        </w:rPr>
      </w:pPr>
    </w:p>
    <w:p w:rsidR="0000691A" w:rsidRPr="00F32FCD" w:rsidRDefault="0000691A" w:rsidP="002B1576">
      <w:pPr>
        <w:spacing w:after="200"/>
        <w:jc w:val="both"/>
        <w:rPr>
          <w:rFonts w:eastAsia="Calibri"/>
          <w:b/>
          <w:bCs/>
          <w:i/>
          <w:szCs w:val="24"/>
          <w:lang w:val="en-US"/>
        </w:rPr>
      </w:pPr>
      <w:r w:rsidRPr="00F32FCD">
        <w:rPr>
          <w:rFonts w:eastAsia="Calibri"/>
          <w:b/>
          <w:bCs/>
          <w:i/>
          <w:szCs w:val="24"/>
          <w:lang w:val="en-US"/>
        </w:rPr>
        <w:t>Recommendations</w:t>
      </w:r>
    </w:p>
    <w:p w:rsidR="0000691A" w:rsidRPr="00BD74A8" w:rsidRDefault="0000691A" w:rsidP="002B1576">
      <w:pPr>
        <w:numPr>
          <w:ilvl w:val="0"/>
          <w:numId w:val="11"/>
        </w:numPr>
        <w:spacing w:after="200"/>
        <w:jc w:val="both"/>
        <w:rPr>
          <w:rFonts w:eastAsia="Calibri"/>
          <w:szCs w:val="24"/>
          <w:lang w:val="en-US"/>
        </w:rPr>
      </w:pPr>
      <w:r w:rsidRPr="00BD74A8">
        <w:rPr>
          <w:rFonts w:eastAsia="Calibri"/>
          <w:szCs w:val="24"/>
          <w:lang w:val="en-US"/>
        </w:rPr>
        <w:t>The Commission must recover the overpayments made during 2006-07 from the BWA payable for 2014.</w:t>
      </w:r>
    </w:p>
    <w:p w:rsidR="0000691A" w:rsidRPr="00BD74A8" w:rsidRDefault="0000691A" w:rsidP="002B1576">
      <w:pPr>
        <w:numPr>
          <w:ilvl w:val="0"/>
          <w:numId w:val="11"/>
        </w:numPr>
        <w:spacing w:after="200"/>
        <w:jc w:val="both"/>
        <w:rPr>
          <w:rFonts w:eastAsia="Calibri"/>
          <w:szCs w:val="24"/>
          <w:lang w:val="en-US"/>
        </w:rPr>
      </w:pPr>
      <w:r w:rsidRPr="00BD74A8">
        <w:rPr>
          <w:rFonts w:eastAsia="Calibri"/>
          <w:szCs w:val="24"/>
          <w:lang w:val="en-US"/>
        </w:rPr>
        <w:t>The allowance should always be paid in line with Regulations.</w:t>
      </w:r>
    </w:p>
    <w:p w:rsidR="00D708DA" w:rsidRDefault="00D708DA" w:rsidP="002B1576">
      <w:pPr>
        <w:jc w:val="both"/>
        <w:rPr>
          <w:rFonts w:eastAsia="Calibri"/>
          <w:bCs/>
          <w:i/>
          <w:szCs w:val="24"/>
          <w:lang w:val="en-US"/>
        </w:rPr>
      </w:pPr>
    </w:p>
    <w:p w:rsidR="00D708DA" w:rsidRDefault="00D708DA" w:rsidP="002B1576">
      <w:pPr>
        <w:jc w:val="both"/>
        <w:rPr>
          <w:rFonts w:eastAsia="Calibri"/>
          <w:bCs/>
          <w:i/>
          <w:szCs w:val="24"/>
          <w:lang w:val="en-US"/>
        </w:rPr>
      </w:pPr>
    </w:p>
    <w:p w:rsidR="00D708DA" w:rsidRDefault="00D708DA" w:rsidP="002B1576">
      <w:pPr>
        <w:jc w:val="both"/>
        <w:rPr>
          <w:rFonts w:eastAsia="Calibri"/>
          <w:bCs/>
          <w:i/>
          <w:szCs w:val="24"/>
          <w:lang w:val="en-US"/>
        </w:rPr>
      </w:pPr>
    </w:p>
    <w:p w:rsidR="0000691A" w:rsidRPr="00F32FCD" w:rsidRDefault="0000691A" w:rsidP="002B1576">
      <w:pPr>
        <w:spacing w:after="200"/>
        <w:jc w:val="both"/>
        <w:rPr>
          <w:rFonts w:eastAsia="Calibri"/>
          <w:b/>
          <w:bCs/>
          <w:i/>
          <w:szCs w:val="24"/>
          <w:lang w:val="en-US"/>
        </w:rPr>
      </w:pPr>
      <w:r w:rsidRPr="00F32FCD">
        <w:rPr>
          <w:rFonts w:eastAsia="Calibri"/>
          <w:b/>
          <w:bCs/>
          <w:i/>
          <w:szCs w:val="24"/>
          <w:lang w:val="en-US"/>
        </w:rPr>
        <w:lastRenderedPageBreak/>
        <w:t>RRA’s Reply</w:t>
      </w:r>
    </w:p>
    <w:p w:rsidR="0000691A" w:rsidRDefault="0000691A" w:rsidP="002B1576">
      <w:pPr>
        <w:jc w:val="both"/>
        <w:rPr>
          <w:rFonts w:eastAsia="Calibri"/>
          <w:bCs/>
          <w:szCs w:val="24"/>
          <w:lang w:val="en-US"/>
        </w:rPr>
      </w:pPr>
      <w:r w:rsidRPr="00BD74A8">
        <w:rPr>
          <w:rFonts w:eastAsia="Calibri"/>
          <w:bCs/>
          <w:szCs w:val="24"/>
          <w:lang w:val="en-US"/>
        </w:rPr>
        <w:t>An enquiry will be conducted to determine the course of action.</w:t>
      </w:r>
    </w:p>
    <w:p w:rsidR="00D708DA" w:rsidRDefault="00D708DA" w:rsidP="002B1576">
      <w:pPr>
        <w:jc w:val="both"/>
        <w:rPr>
          <w:rFonts w:eastAsia="Calibri"/>
          <w:bCs/>
          <w:szCs w:val="24"/>
          <w:lang w:val="en-US"/>
        </w:rPr>
      </w:pPr>
    </w:p>
    <w:p w:rsidR="00D708DA" w:rsidRPr="00BD74A8" w:rsidRDefault="00D708DA" w:rsidP="002B1576">
      <w:pPr>
        <w:jc w:val="both"/>
        <w:rPr>
          <w:rFonts w:eastAsia="Calibri"/>
          <w:bCs/>
          <w:szCs w:val="24"/>
          <w:lang w:val="en-US"/>
        </w:rPr>
      </w:pPr>
    </w:p>
    <w:p w:rsidR="0000691A" w:rsidRPr="00D63DE5" w:rsidRDefault="007B034E" w:rsidP="002B1576">
      <w:pPr>
        <w:jc w:val="both"/>
        <w:rPr>
          <w:rFonts w:eastAsia="Calibri"/>
          <w:b/>
          <w:szCs w:val="24"/>
        </w:rPr>
      </w:pPr>
      <w:r>
        <w:rPr>
          <w:rFonts w:eastAsia="Calibri"/>
          <w:b/>
          <w:szCs w:val="24"/>
        </w:rPr>
        <w:t xml:space="preserve">6.2 </w:t>
      </w:r>
      <w:r w:rsidR="004A483D">
        <w:rPr>
          <w:rFonts w:eastAsia="Calibri"/>
          <w:b/>
          <w:szCs w:val="24"/>
        </w:rPr>
        <w:t xml:space="preserve"> </w:t>
      </w:r>
      <w:r w:rsidR="0000691A" w:rsidRPr="00D63DE5">
        <w:rPr>
          <w:rFonts w:eastAsia="Calibri"/>
          <w:b/>
          <w:szCs w:val="24"/>
        </w:rPr>
        <w:t>Projects in Fisheries Sector</w:t>
      </w:r>
    </w:p>
    <w:p w:rsidR="0000691A" w:rsidRPr="00D63DE5" w:rsidRDefault="0000691A" w:rsidP="002B1576">
      <w:pPr>
        <w:jc w:val="both"/>
        <w:rPr>
          <w:rFonts w:eastAsia="Calibri"/>
          <w:szCs w:val="24"/>
        </w:rPr>
      </w:pPr>
    </w:p>
    <w:p w:rsidR="0000691A" w:rsidRPr="00D63DE5" w:rsidRDefault="0000691A" w:rsidP="002B1576">
      <w:pPr>
        <w:jc w:val="both"/>
        <w:rPr>
          <w:rFonts w:eastAsia="Calibri"/>
          <w:szCs w:val="24"/>
        </w:rPr>
      </w:pPr>
      <w:r w:rsidRPr="00D63DE5">
        <w:rPr>
          <w:rFonts w:eastAsia="Calibri"/>
          <w:szCs w:val="24"/>
        </w:rPr>
        <w:t xml:space="preserve">The projects in the Fisheries Sector as mentioned at paragraph 5.1 of the Audit Report for the year ended 31 December 2012 relating to the acquisition and management of five fibre glass fishing boats and six outer-lagoon fishing boats costing Rs 52,831,000 and Rs 15,639,425 respectively by the Commission were reviewed in April 2014. </w:t>
      </w:r>
    </w:p>
    <w:p w:rsidR="0000691A" w:rsidRDefault="0000691A" w:rsidP="002B1576">
      <w:pPr>
        <w:jc w:val="both"/>
        <w:rPr>
          <w:rFonts w:eastAsia="Calibri"/>
          <w:szCs w:val="24"/>
        </w:rPr>
      </w:pPr>
    </w:p>
    <w:p w:rsidR="0000691A" w:rsidRPr="00D63DE5" w:rsidRDefault="0000691A" w:rsidP="002B1576">
      <w:pPr>
        <w:jc w:val="both"/>
        <w:rPr>
          <w:rFonts w:eastAsia="Calibri"/>
          <w:szCs w:val="24"/>
        </w:rPr>
      </w:pPr>
    </w:p>
    <w:p w:rsidR="0000691A" w:rsidRPr="00D63DE5" w:rsidRDefault="007B034E" w:rsidP="002B1576">
      <w:pPr>
        <w:spacing w:after="200"/>
        <w:jc w:val="both"/>
        <w:rPr>
          <w:rFonts w:eastAsia="Calibri"/>
          <w:b/>
          <w:i/>
          <w:szCs w:val="24"/>
          <w:lang w:val="en-US"/>
        </w:rPr>
      </w:pPr>
      <w:r>
        <w:rPr>
          <w:rFonts w:eastAsia="Calibri"/>
          <w:b/>
          <w:i/>
          <w:szCs w:val="24"/>
          <w:lang w:val="en-US"/>
        </w:rPr>
        <w:t>6.2.1</w:t>
      </w:r>
      <w:r w:rsidR="0000691A" w:rsidRPr="00D63DE5">
        <w:rPr>
          <w:rFonts w:eastAsia="Calibri"/>
          <w:b/>
          <w:i/>
          <w:szCs w:val="24"/>
          <w:lang w:val="en-US"/>
        </w:rPr>
        <w:t xml:space="preserve"> </w:t>
      </w:r>
      <w:r w:rsidR="00F93F1F">
        <w:rPr>
          <w:rFonts w:eastAsia="Calibri"/>
          <w:b/>
          <w:i/>
          <w:szCs w:val="24"/>
          <w:lang w:val="en-US"/>
        </w:rPr>
        <w:t xml:space="preserve"> </w:t>
      </w:r>
      <w:r w:rsidR="0000691A" w:rsidRPr="00D63DE5">
        <w:rPr>
          <w:rFonts w:eastAsia="Calibri"/>
          <w:b/>
          <w:i/>
          <w:szCs w:val="24"/>
          <w:lang w:val="en-US"/>
        </w:rPr>
        <w:t xml:space="preserve">Procurement of Five </w:t>
      </w:r>
      <w:proofErr w:type="spellStart"/>
      <w:r w:rsidR="0000691A" w:rsidRPr="00D63DE5">
        <w:rPr>
          <w:rFonts w:eastAsia="Calibri"/>
          <w:b/>
          <w:i/>
          <w:szCs w:val="24"/>
          <w:lang w:val="en-US"/>
        </w:rPr>
        <w:t>Fibre</w:t>
      </w:r>
      <w:proofErr w:type="spellEnd"/>
      <w:r w:rsidR="0000691A" w:rsidRPr="00D63DE5">
        <w:rPr>
          <w:rFonts w:eastAsia="Calibri"/>
          <w:b/>
          <w:i/>
          <w:szCs w:val="24"/>
          <w:lang w:val="en-US"/>
        </w:rPr>
        <w:t xml:space="preserve"> Glass Fishing Boats – Rs 52,831,000</w:t>
      </w:r>
    </w:p>
    <w:p w:rsidR="0000691A" w:rsidRPr="00D63DE5" w:rsidRDefault="0000691A" w:rsidP="002B1576">
      <w:pPr>
        <w:spacing w:after="200"/>
        <w:jc w:val="both"/>
        <w:rPr>
          <w:rFonts w:eastAsia="Calibri"/>
          <w:b/>
          <w:i/>
          <w:szCs w:val="24"/>
          <w:lang w:val="en-US"/>
        </w:rPr>
      </w:pPr>
      <w:r w:rsidRPr="00D63DE5">
        <w:rPr>
          <w:rFonts w:eastAsia="Calibri"/>
          <w:szCs w:val="24"/>
          <w:lang w:val="en-US"/>
        </w:rPr>
        <w:t>The fishing boats were purchased by RRA in December 2011 at a cost of some Rs 52 million financed by a loan of Rs 13,207,750</w:t>
      </w:r>
      <w:r w:rsidR="0063754E">
        <w:rPr>
          <w:rFonts w:eastAsia="Calibri"/>
          <w:szCs w:val="24"/>
          <w:lang w:val="en-US"/>
        </w:rPr>
        <w:t>,</w:t>
      </w:r>
      <w:r w:rsidRPr="00D63DE5">
        <w:rPr>
          <w:rFonts w:eastAsia="Calibri"/>
          <w:szCs w:val="24"/>
          <w:lang w:val="en-US"/>
        </w:rPr>
        <w:t xml:space="preserve"> and a grant of Rs 39,623,250 from International Fund for Agricultural Development in support to </w:t>
      </w:r>
      <w:proofErr w:type="spellStart"/>
      <w:r w:rsidRPr="00D63DE5">
        <w:rPr>
          <w:rFonts w:eastAsia="Calibri"/>
          <w:szCs w:val="24"/>
          <w:lang w:val="en-US"/>
        </w:rPr>
        <w:t>Rodriguan</w:t>
      </w:r>
      <w:proofErr w:type="spellEnd"/>
      <w:r w:rsidRPr="00D63DE5">
        <w:rPr>
          <w:rFonts w:eastAsia="Calibri"/>
          <w:szCs w:val="24"/>
          <w:lang w:val="en-US"/>
        </w:rPr>
        <w:t xml:space="preserve"> fishermen for </w:t>
      </w:r>
      <w:proofErr w:type="spellStart"/>
      <w:r w:rsidRPr="00D63DE5">
        <w:rPr>
          <w:rFonts w:eastAsia="Calibri"/>
          <w:szCs w:val="24"/>
          <w:lang w:val="en-US"/>
        </w:rPr>
        <w:t>demersal</w:t>
      </w:r>
      <w:proofErr w:type="spellEnd"/>
      <w:r w:rsidRPr="00D63DE5">
        <w:rPr>
          <w:rFonts w:eastAsia="Calibri"/>
          <w:szCs w:val="24"/>
          <w:lang w:val="en-US"/>
        </w:rPr>
        <w:t xml:space="preserve"> fishing and were handed over to five Cooperative Societies. </w:t>
      </w:r>
    </w:p>
    <w:p w:rsidR="00F93F1F" w:rsidRDefault="00F93F1F" w:rsidP="002B1576">
      <w:pPr>
        <w:jc w:val="both"/>
        <w:rPr>
          <w:rFonts w:eastAsia="Calibri"/>
          <w:i/>
          <w:szCs w:val="24"/>
          <w:lang w:val="en-US"/>
        </w:rPr>
      </w:pPr>
    </w:p>
    <w:p w:rsidR="0000691A" w:rsidRPr="00D63DE5" w:rsidRDefault="002B1576" w:rsidP="002B1576">
      <w:pPr>
        <w:spacing w:after="200"/>
        <w:jc w:val="both"/>
        <w:rPr>
          <w:rFonts w:eastAsia="Calibri"/>
          <w:i/>
          <w:szCs w:val="24"/>
          <w:lang w:val="en-US"/>
        </w:rPr>
      </w:pPr>
      <w:r>
        <w:rPr>
          <w:rFonts w:eastAsia="Calibri"/>
          <w:i/>
          <w:szCs w:val="24"/>
          <w:lang w:val="en-US"/>
        </w:rPr>
        <w:t>Loan Agreements</w:t>
      </w:r>
    </w:p>
    <w:p w:rsidR="0000691A" w:rsidRPr="00D63DE5" w:rsidRDefault="0000691A" w:rsidP="002B1576">
      <w:pPr>
        <w:spacing w:after="200"/>
        <w:jc w:val="both"/>
        <w:rPr>
          <w:rFonts w:eastAsia="Calibri"/>
          <w:szCs w:val="24"/>
          <w:lang w:val="en-US"/>
        </w:rPr>
      </w:pPr>
      <w:r w:rsidRPr="00D63DE5">
        <w:rPr>
          <w:rFonts w:eastAsia="Calibri"/>
          <w:szCs w:val="24"/>
          <w:lang w:val="en-US"/>
        </w:rPr>
        <w:t>Loan agreements were signed between RRA and the Cooperative Societies in December 2011, for the sum of Rs 13,207,750</w:t>
      </w:r>
      <w:r w:rsidR="00B245F1">
        <w:rPr>
          <w:rFonts w:eastAsia="Calibri"/>
          <w:szCs w:val="24"/>
          <w:lang w:val="en-US"/>
        </w:rPr>
        <w:t>,</w:t>
      </w:r>
      <w:r w:rsidRPr="00D63DE5">
        <w:rPr>
          <w:rFonts w:eastAsia="Calibri"/>
          <w:szCs w:val="24"/>
          <w:lang w:val="en-US"/>
        </w:rPr>
        <w:t xml:space="preserve"> that is Rs 2,641,550 by each </w:t>
      </w:r>
      <w:r w:rsidR="00F93F1F">
        <w:rPr>
          <w:rFonts w:eastAsia="Calibri"/>
          <w:szCs w:val="24"/>
          <w:lang w:val="en-US"/>
        </w:rPr>
        <w:t xml:space="preserve">Society. During 2011 and 2012, </w:t>
      </w:r>
      <w:r w:rsidRPr="00D63DE5">
        <w:rPr>
          <w:rFonts w:eastAsia="Calibri"/>
          <w:szCs w:val="24"/>
          <w:lang w:val="en-US"/>
        </w:rPr>
        <w:t xml:space="preserve">RRA also incurred expenditure </w:t>
      </w:r>
      <w:proofErr w:type="spellStart"/>
      <w:r w:rsidRPr="00D63DE5">
        <w:rPr>
          <w:rFonts w:eastAsia="Calibri"/>
          <w:szCs w:val="24"/>
          <w:lang w:val="en-US"/>
        </w:rPr>
        <w:t>totalling</w:t>
      </w:r>
      <w:proofErr w:type="spellEnd"/>
      <w:r w:rsidRPr="00D63DE5">
        <w:rPr>
          <w:rFonts w:eastAsia="Calibri"/>
          <w:szCs w:val="24"/>
          <w:lang w:val="en-US"/>
        </w:rPr>
        <w:t xml:space="preserve"> Rs 1,639,250 for the purchase of fishing equipment for the five Societies for which loan agreements were not yet signed as of 30 April 2014. Therefore, modalities of repayment were not known. </w:t>
      </w:r>
    </w:p>
    <w:p w:rsidR="0063754E" w:rsidRDefault="0063754E" w:rsidP="002B1576">
      <w:pPr>
        <w:jc w:val="both"/>
        <w:rPr>
          <w:rFonts w:eastAsia="Calibri"/>
          <w:i/>
          <w:szCs w:val="24"/>
          <w:lang w:val="en-US"/>
        </w:rPr>
      </w:pPr>
    </w:p>
    <w:p w:rsidR="0000691A" w:rsidRDefault="0000691A" w:rsidP="002B1576">
      <w:pPr>
        <w:jc w:val="both"/>
        <w:rPr>
          <w:rFonts w:eastAsia="Calibri"/>
          <w:i/>
          <w:szCs w:val="24"/>
          <w:lang w:val="en-US"/>
        </w:rPr>
      </w:pPr>
      <w:r w:rsidRPr="00D63DE5">
        <w:rPr>
          <w:rFonts w:eastAsia="Calibri"/>
          <w:i/>
          <w:szCs w:val="24"/>
          <w:lang w:val="en-US"/>
        </w:rPr>
        <w:t xml:space="preserve">Loan Repayment </w:t>
      </w:r>
    </w:p>
    <w:p w:rsidR="00D708DA" w:rsidRDefault="00D708DA" w:rsidP="002B1576">
      <w:pPr>
        <w:jc w:val="both"/>
        <w:rPr>
          <w:rFonts w:eastAsia="Calibri"/>
          <w:szCs w:val="24"/>
          <w:lang w:val="en-US"/>
        </w:rPr>
      </w:pPr>
    </w:p>
    <w:p w:rsidR="0000691A" w:rsidRPr="00D63DE5" w:rsidRDefault="0000691A" w:rsidP="002B1576">
      <w:pPr>
        <w:spacing w:after="200"/>
        <w:jc w:val="both"/>
        <w:rPr>
          <w:rFonts w:eastAsia="Calibri"/>
          <w:szCs w:val="24"/>
          <w:lang w:val="en-US"/>
        </w:rPr>
      </w:pPr>
      <w:r w:rsidRPr="00D63DE5">
        <w:rPr>
          <w:rFonts w:eastAsia="Calibri"/>
          <w:szCs w:val="24"/>
          <w:lang w:val="en-US"/>
        </w:rPr>
        <w:t>The total loan amounted to Rs 14,847,000, that is, Rs 2,969,400 for each Society. The loan agreement provides that interest of Rs 11,006 is payable monthly as from January 2012.</w:t>
      </w:r>
      <w:r w:rsidR="00B245F1">
        <w:rPr>
          <w:rFonts w:eastAsia="Calibri"/>
          <w:szCs w:val="24"/>
          <w:lang w:val="en-US"/>
        </w:rPr>
        <w:t xml:space="preserve"> </w:t>
      </w:r>
      <w:r w:rsidRPr="00D63DE5">
        <w:rPr>
          <w:rFonts w:eastAsia="Calibri"/>
          <w:szCs w:val="24"/>
          <w:lang w:val="en-US"/>
        </w:rPr>
        <w:t>The capital repayment was due after a moratorium of one year</w:t>
      </w:r>
      <w:r w:rsidR="00B245F1">
        <w:rPr>
          <w:rFonts w:eastAsia="Calibri"/>
          <w:szCs w:val="24"/>
          <w:lang w:val="en-US"/>
        </w:rPr>
        <w:t xml:space="preserve">, </w:t>
      </w:r>
      <w:r w:rsidRPr="00D63DE5">
        <w:rPr>
          <w:rFonts w:eastAsia="Calibri"/>
          <w:szCs w:val="24"/>
          <w:lang w:val="en-US"/>
        </w:rPr>
        <w:t xml:space="preserve">that is, in January 2013. </w:t>
      </w:r>
    </w:p>
    <w:p w:rsidR="0000691A" w:rsidRPr="00D63DE5" w:rsidRDefault="0000691A" w:rsidP="002B1576">
      <w:pPr>
        <w:spacing w:after="200"/>
        <w:jc w:val="both"/>
        <w:rPr>
          <w:rFonts w:eastAsia="Calibri"/>
          <w:szCs w:val="24"/>
          <w:lang w:val="en-US"/>
        </w:rPr>
      </w:pPr>
      <w:r w:rsidRPr="00D63DE5">
        <w:rPr>
          <w:rFonts w:eastAsia="Calibri"/>
          <w:szCs w:val="24"/>
          <w:lang w:val="en-US"/>
        </w:rPr>
        <w:t>Capital and interest due as of 31 December 2013 amounted to Rs 3,059,000 and Rs 1,251,280 respectively</w:t>
      </w:r>
      <w:r w:rsidR="00B245F1">
        <w:rPr>
          <w:rFonts w:eastAsia="Calibri"/>
          <w:szCs w:val="24"/>
          <w:lang w:val="en-US"/>
        </w:rPr>
        <w:t>,</w:t>
      </w:r>
      <w:r w:rsidRPr="00D63DE5">
        <w:rPr>
          <w:rFonts w:eastAsia="Calibri"/>
          <w:szCs w:val="24"/>
          <w:lang w:val="en-US"/>
        </w:rPr>
        <w:t xml:space="preserve"> that is</w:t>
      </w:r>
      <w:r w:rsidR="00B245F1">
        <w:rPr>
          <w:rFonts w:eastAsia="Calibri"/>
          <w:szCs w:val="24"/>
          <w:lang w:val="en-US"/>
        </w:rPr>
        <w:t>,</w:t>
      </w:r>
      <w:r w:rsidRPr="00D63DE5">
        <w:rPr>
          <w:rFonts w:eastAsia="Calibri"/>
          <w:szCs w:val="24"/>
          <w:lang w:val="en-US"/>
        </w:rPr>
        <w:t xml:space="preserve"> a sum of Rs 862,068 for each </w:t>
      </w:r>
      <w:r w:rsidR="00B245F1">
        <w:rPr>
          <w:rFonts w:eastAsia="Calibri"/>
          <w:szCs w:val="24"/>
          <w:lang w:val="en-US"/>
        </w:rPr>
        <w:t>S</w:t>
      </w:r>
      <w:r w:rsidRPr="00D63DE5">
        <w:rPr>
          <w:rFonts w:eastAsia="Calibri"/>
          <w:szCs w:val="24"/>
          <w:lang w:val="en-US"/>
        </w:rPr>
        <w:t>ociety. As of 31 December 2013, none of these Societies have made their monthly repayments.</w:t>
      </w:r>
    </w:p>
    <w:p w:rsidR="00F32FCD" w:rsidRPr="00D63DE5" w:rsidRDefault="00F32FCD" w:rsidP="002B1576">
      <w:pPr>
        <w:jc w:val="both"/>
        <w:rPr>
          <w:rFonts w:eastAsia="Calibri"/>
          <w:szCs w:val="24"/>
          <w:lang w:val="en-US"/>
        </w:rPr>
      </w:pPr>
    </w:p>
    <w:p w:rsidR="0000691A" w:rsidRPr="00F32FCD" w:rsidRDefault="0000691A" w:rsidP="002B1576">
      <w:pPr>
        <w:spacing w:after="200"/>
        <w:jc w:val="both"/>
        <w:rPr>
          <w:rFonts w:eastAsia="Calibri"/>
          <w:b/>
          <w:i/>
          <w:szCs w:val="24"/>
          <w:lang w:val="en-US"/>
        </w:rPr>
      </w:pPr>
      <w:r w:rsidRPr="00F32FCD">
        <w:rPr>
          <w:rFonts w:eastAsia="Calibri"/>
          <w:b/>
          <w:i/>
          <w:szCs w:val="24"/>
          <w:lang w:val="en-US"/>
        </w:rPr>
        <w:t>Recommendation</w:t>
      </w:r>
      <w:r w:rsidR="00D708DA">
        <w:rPr>
          <w:rFonts w:eastAsia="Calibri"/>
          <w:b/>
          <w:i/>
          <w:szCs w:val="24"/>
          <w:lang w:val="en-US"/>
        </w:rPr>
        <w:t>s</w:t>
      </w:r>
    </w:p>
    <w:p w:rsidR="0000691A" w:rsidRDefault="0000691A" w:rsidP="002B1576">
      <w:pPr>
        <w:spacing w:after="200"/>
        <w:jc w:val="both"/>
        <w:rPr>
          <w:rFonts w:eastAsia="Calibri"/>
          <w:szCs w:val="24"/>
          <w:lang w:val="en-US"/>
        </w:rPr>
      </w:pPr>
      <w:r w:rsidRPr="00D63DE5">
        <w:rPr>
          <w:rFonts w:eastAsia="Calibri"/>
          <w:szCs w:val="24"/>
          <w:lang w:val="en-US"/>
        </w:rPr>
        <w:t xml:space="preserve">In view of the incapacity of Cooperative Societies to repay their loans, a re-assessment of the viability of the project of providing </w:t>
      </w:r>
      <w:proofErr w:type="spellStart"/>
      <w:r w:rsidRPr="00D63DE5">
        <w:rPr>
          <w:rFonts w:eastAsia="Calibri"/>
          <w:szCs w:val="24"/>
          <w:lang w:val="en-US"/>
        </w:rPr>
        <w:t>fibre</w:t>
      </w:r>
      <w:proofErr w:type="spellEnd"/>
      <w:r w:rsidRPr="00D63DE5">
        <w:rPr>
          <w:rFonts w:eastAsia="Calibri"/>
          <w:szCs w:val="24"/>
          <w:lang w:val="en-US"/>
        </w:rPr>
        <w:t xml:space="preserve"> glass fishing boats to support fishermen for </w:t>
      </w:r>
      <w:proofErr w:type="spellStart"/>
      <w:r w:rsidRPr="00D63DE5">
        <w:rPr>
          <w:rFonts w:eastAsia="Calibri"/>
          <w:szCs w:val="24"/>
          <w:lang w:val="en-US"/>
        </w:rPr>
        <w:t>demersal</w:t>
      </w:r>
      <w:proofErr w:type="spellEnd"/>
      <w:r w:rsidRPr="00D63DE5">
        <w:rPr>
          <w:rFonts w:eastAsia="Calibri"/>
          <w:szCs w:val="24"/>
          <w:lang w:val="en-US"/>
        </w:rPr>
        <w:t xml:space="preserve"> fishing should be made. Alternatively, the Commission should look out for means of recouping the loan.</w:t>
      </w:r>
    </w:p>
    <w:p w:rsidR="0000691A" w:rsidRDefault="0000691A" w:rsidP="002B1576">
      <w:pPr>
        <w:jc w:val="both"/>
        <w:rPr>
          <w:rFonts w:eastAsia="Calibri"/>
          <w:szCs w:val="24"/>
          <w:lang w:val="en-US"/>
        </w:rPr>
      </w:pPr>
    </w:p>
    <w:p w:rsidR="00D708DA" w:rsidRDefault="00D708DA" w:rsidP="002B1576">
      <w:pPr>
        <w:jc w:val="both"/>
        <w:rPr>
          <w:rFonts w:eastAsia="Calibri"/>
          <w:szCs w:val="24"/>
          <w:lang w:val="en-US"/>
        </w:rPr>
      </w:pPr>
    </w:p>
    <w:p w:rsidR="00D708DA" w:rsidRDefault="00D708DA" w:rsidP="002B1576">
      <w:pPr>
        <w:jc w:val="both"/>
        <w:rPr>
          <w:rFonts w:eastAsia="Calibri"/>
          <w:szCs w:val="24"/>
          <w:lang w:val="en-US"/>
        </w:rPr>
      </w:pPr>
    </w:p>
    <w:p w:rsidR="00D708DA" w:rsidRDefault="00D708DA" w:rsidP="002B1576">
      <w:pPr>
        <w:jc w:val="both"/>
        <w:rPr>
          <w:rFonts w:eastAsia="Calibri"/>
          <w:szCs w:val="24"/>
          <w:lang w:val="en-US"/>
        </w:rPr>
      </w:pPr>
    </w:p>
    <w:p w:rsidR="00D708DA" w:rsidRDefault="00D708DA" w:rsidP="002B1576">
      <w:pPr>
        <w:jc w:val="both"/>
        <w:rPr>
          <w:rFonts w:eastAsia="Calibri"/>
          <w:szCs w:val="24"/>
          <w:lang w:val="en-US"/>
        </w:rPr>
      </w:pPr>
    </w:p>
    <w:p w:rsidR="0000691A" w:rsidRPr="00F32FCD" w:rsidRDefault="0000691A" w:rsidP="002B1576">
      <w:pPr>
        <w:jc w:val="both"/>
        <w:rPr>
          <w:rFonts w:eastAsia="Calibri"/>
          <w:b/>
          <w:i/>
          <w:szCs w:val="24"/>
          <w:lang w:val="en-US"/>
        </w:rPr>
      </w:pPr>
      <w:r w:rsidRPr="00F32FCD">
        <w:rPr>
          <w:rFonts w:eastAsia="Calibri"/>
          <w:b/>
          <w:i/>
          <w:szCs w:val="24"/>
          <w:lang w:val="en-US"/>
        </w:rPr>
        <w:lastRenderedPageBreak/>
        <w:t>RRA’s Reply</w:t>
      </w:r>
    </w:p>
    <w:p w:rsidR="0000691A" w:rsidRPr="00D63DE5" w:rsidRDefault="0000691A" w:rsidP="002B1576">
      <w:pPr>
        <w:jc w:val="both"/>
        <w:rPr>
          <w:rFonts w:eastAsia="Calibri"/>
          <w:i/>
          <w:szCs w:val="24"/>
          <w:lang w:val="en-US"/>
        </w:rPr>
      </w:pPr>
    </w:p>
    <w:p w:rsidR="00F32FCD" w:rsidRDefault="0000691A" w:rsidP="002B1576">
      <w:pPr>
        <w:spacing w:after="200"/>
        <w:jc w:val="both"/>
        <w:rPr>
          <w:rFonts w:eastAsia="Calibri"/>
          <w:szCs w:val="24"/>
          <w:lang w:val="en-US"/>
        </w:rPr>
      </w:pPr>
      <w:r w:rsidRPr="00D63DE5">
        <w:rPr>
          <w:rFonts w:eastAsia="Calibri"/>
          <w:szCs w:val="24"/>
          <w:lang w:val="en-US"/>
        </w:rPr>
        <w:t>A new management plan, approved by the Executive Council is being implemented for more effective utilization of the boats and to ensure that repayment of loans are done regularly after each f</w:t>
      </w:r>
      <w:r w:rsidR="00F32FCD">
        <w:rPr>
          <w:rFonts w:eastAsia="Calibri"/>
          <w:szCs w:val="24"/>
          <w:lang w:val="en-US"/>
        </w:rPr>
        <w:t>ishing outing.</w:t>
      </w:r>
    </w:p>
    <w:p w:rsidR="0000691A" w:rsidRPr="00D63DE5" w:rsidRDefault="007B034E" w:rsidP="002B1576">
      <w:pPr>
        <w:spacing w:after="200"/>
        <w:jc w:val="both"/>
        <w:rPr>
          <w:rFonts w:eastAsia="Calibri"/>
          <w:b/>
          <w:i/>
          <w:szCs w:val="24"/>
          <w:lang w:val="en-US"/>
        </w:rPr>
      </w:pPr>
      <w:r>
        <w:rPr>
          <w:rFonts w:eastAsia="Calibri"/>
          <w:b/>
          <w:i/>
          <w:szCs w:val="24"/>
          <w:lang w:val="en-US"/>
        </w:rPr>
        <w:t>6.2</w:t>
      </w:r>
      <w:r w:rsidR="0000691A" w:rsidRPr="00D63DE5">
        <w:rPr>
          <w:rFonts w:eastAsia="Calibri"/>
          <w:b/>
          <w:i/>
          <w:szCs w:val="24"/>
          <w:lang w:val="en-US"/>
        </w:rPr>
        <w:t>.2</w:t>
      </w:r>
      <w:r w:rsidR="00F93F1F">
        <w:rPr>
          <w:rFonts w:eastAsia="Calibri"/>
          <w:b/>
          <w:i/>
          <w:szCs w:val="24"/>
          <w:lang w:val="en-US"/>
        </w:rPr>
        <w:t xml:space="preserve"> </w:t>
      </w:r>
      <w:r w:rsidR="0000691A" w:rsidRPr="00D63DE5">
        <w:rPr>
          <w:rFonts w:eastAsia="Calibri"/>
          <w:b/>
          <w:i/>
          <w:szCs w:val="24"/>
          <w:lang w:val="en-US"/>
        </w:rPr>
        <w:t xml:space="preserve"> Procurement of Six Outer Lagoon Fishing Boats</w:t>
      </w:r>
      <w:r w:rsidR="00D708DA">
        <w:rPr>
          <w:rFonts w:eastAsia="Calibri"/>
          <w:b/>
          <w:i/>
          <w:szCs w:val="24"/>
          <w:lang w:val="en-US"/>
        </w:rPr>
        <w:t xml:space="preserve"> - Rs 15,639,425</w:t>
      </w:r>
    </w:p>
    <w:p w:rsidR="0000691A" w:rsidRPr="00D63DE5" w:rsidRDefault="0000691A" w:rsidP="002B1576">
      <w:pPr>
        <w:spacing w:after="200"/>
        <w:jc w:val="both"/>
        <w:rPr>
          <w:rFonts w:eastAsia="Calibri"/>
          <w:szCs w:val="24"/>
          <w:lang w:val="en-US"/>
        </w:rPr>
      </w:pPr>
      <w:r w:rsidRPr="00D63DE5">
        <w:rPr>
          <w:rFonts w:eastAsia="Calibri"/>
          <w:szCs w:val="24"/>
          <w:lang w:val="en-US"/>
        </w:rPr>
        <w:t xml:space="preserve">As of 31 March 2012, the six outer lagoon fishing boats were under the responsibility of the </w:t>
      </w:r>
      <w:proofErr w:type="spellStart"/>
      <w:r w:rsidRPr="00D63DE5">
        <w:rPr>
          <w:rFonts w:eastAsia="Calibri"/>
          <w:szCs w:val="24"/>
          <w:lang w:val="en-US"/>
        </w:rPr>
        <w:t>Rodrigues</w:t>
      </w:r>
      <w:proofErr w:type="spellEnd"/>
      <w:r w:rsidRPr="00D63DE5">
        <w:rPr>
          <w:rFonts w:eastAsia="Calibri"/>
          <w:szCs w:val="24"/>
          <w:lang w:val="en-US"/>
        </w:rPr>
        <w:t xml:space="preserve"> General Fishing Company </w:t>
      </w:r>
      <w:r w:rsidR="00A15EB2" w:rsidRPr="00D63DE5">
        <w:rPr>
          <w:rFonts w:eastAsia="Calibri"/>
          <w:szCs w:val="24"/>
          <w:lang w:val="en-US"/>
        </w:rPr>
        <w:t>(RG</w:t>
      </w:r>
      <w:r w:rsidR="00A15EB2">
        <w:rPr>
          <w:rFonts w:eastAsia="Calibri"/>
          <w:szCs w:val="24"/>
          <w:lang w:val="en-US"/>
        </w:rPr>
        <w:t>F</w:t>
      </w:r>
      <w:r w:rsidR="00A15EB2" w:rsidRPr="00D63DE5">
        <w:rPr>
          <w:rFonts w:eastAsia="Calibri"/>
          <w:szCs w:val="24"/>
          <w:lang w:val="en-US"/>
        </w:rPr>
        <w:t>C)</w:t>
      </w:r>
      <w:r w:rsidR="00A15EB2">
        <w:rPr>
          <w:rFonts w:eastAsia="Calibri"/>
          <w:szCs w:val="24"/>
          <w:lang w:val="en-US"/>
        </w:rPr>
        <w:t xml:space="preserve"> </w:t>
      </w:r>
      <w:r w:rsidRPr="00D63DE5">
        <w:rPr>
          <w:rFonts w:eastAsia="Calibri"/>
          <w:szCs w:val="24"/>
          <w:lang w:val="en-US"/>
        </w:rPr>
        <w:t>L</w:t>
      </w:r>
      <w:r w:rsidR="00A15EB2">
        <w:rPr>
          <w:rFonts w:eastAsia="Calibri"/>
          <w:szCs w:val="24"/>
          <w:lang w:val="en-US"/>
        </w:rPr>
        <w:t>t</w:t>
      </w:r>
      <w:r w:rsidRPr="00D63DE5">
        <w:rPr>
          <w:rFonts w:eastAsia="Calibri"/>
          <w:szCs w:val="24"/>
          <w:lang w:val="en-US"/>
        </w:rPr>
        <w:t>d. Subsequently, in May 2012, the Executive Council approved the winding up of the RG</w:t>
      </w:r>
      <w:r w:rsidR="00D708DA">
        <w:rPr>
          <w:rFonts w:eastAsia="Calibri"/>
          <w:szCs w:val="24"/>
          <w:lang w:val="en-US"/>
        </w:rPr>
        <w:t>F</w:t>
      </w:r>
      <w:r w:rsidRPr="00D63DE5">
        <w:rPr>
          <w:rFonts w:eastAsia="Calibri"/>
          <w:szCs w:val="24"/>
          <w:lang w:val="en-US"/>
        </w:rPr>
        <w:t>C</w:t>
      </w:r>
      <w:r w:rsidR="00A15EB2">
        <w:rPr>
          <w:rFonts w:eastAsia="Calibri"/>
          <w:szCs w:val="24"/>
          <w:lang w:val="en-US"/>
        </w:rPr>
        <w:t xml:space="preserve"> Ltd</w:t>
      </w:r>
      <w:r w:rsidRPr="00D63DE5">
        <w:rPr>
          <w:rFonts w:eastAsia="Calibri"/>
          <w:szCs w:val="24"/>
          <w:lang w:val="en-US"/>
        </w:rPr>
        <w:t xml:space="preserve">, and hence the operation of the fishing boats had ceased. These boats were moored at Pointe </w:t>
      </w:r>
      <w:proofErr w:type="spellStart"/>
      <w:r w:rsidRPr="00D63DE5">
        <w:rPr>
          <w:rFonts w:eastAsia="Calibri"/>
          <w:szCs w:val="24"/>
          <w:lang w:val="en-US"/>
        </w:rPr>
        <w:t>Monier</w:t>
      </w:r>
      <w:proofErr w:type="spellEnd"/>
      <w:r w:rsidRPr="00D63DE5">
        <w:rPr>
          <w:rFonts w:eastAsia="Calibri"/>
          <w:szCs w:val="24"/>
          <w:lang w:val="en-US"/>
        </w:rPr>
        <w:t xml:space="preserve"> boatyard without any maintenance and protection.</w:t>
      </w:r>
    </w:p>
    <w:p w:rsidR="0000691A" w:rsidRPr="00D63DE5" w:rsidRDefault="0000691A" w:rsidP="002B1576">
      <w:pPr>
        <w:spacing w:after="200"/>
        <w:jc w:val="both"/>
        <w:rPr>
          <w:rFonts w:eastAsia="Calibri"/>
          <w:szCs w:val="24"/>
          <w:lang w:val="en-US"/>
        </w:rPr>
      </w:pPr>
      <w:r w:rsidRPr="00D63DE5">
        <w:rPr>
          <w:rFonts w:eastAsia="Calibri"/>
          <w:szCs w:val="24"/>
          <w:lang w:val="en-US"/>
        </w:rPr>
        <w:t xml:space="preserve">The boats were taken over by the Fisheries Research and Training Unit (FRTU) on </w:t>
      </w:r>
      <w:r w:rsidR="00A15EB2">
        <w:rPr>
          <w:rFonts w:eastAsia="Calibri"/>
          <w:szCs w:val="24"/>
          <w:lang w:val="en-US"/>
        </w:rPr>
        <w:br/>
      </w:r>
      <w:r w:rsidRPr="00D63DE5">
        <w:rPr>
          <w:rFonts w:eastAsia="Calibri"/>
          <w:szCs w:val="24"/>
          <w:lang w:val="en-US"/>
        </w:rPr>
        <w:t>16 September 2013.  According to an independent Surveyor’s report in November 2013, the boats were left idle for a long time</w:t>
      </w:r>
      <w:r w:rsidR="00B245F1">
        <w:rPr>
          <w:rFonts w:eastAsia="Calibri"/>
          <w:szCs w:val="24"/>
          <w:lang w:val="en-US"/>
        </w:rPr>
        <w:t>,</w:t>
      </w:r>
      <w:r w:rsidRPr="00D63DE5">
        <w:rPr>
          <w:rFonts w:eastAsia="Calibri"/>
          <w:szCs w:val="24"/>
          <w:lang w:val="en-US"/>
        </w:rPr>
        <w:t xml:space="preserve"> and this had led to the deterioration of the engine and equipment. The estimated cost of repairs may be substantial, as the warranty period of the boats had already expired in June 2011.</w:t>
      </w:r>
    </w:p>
    <w:p w:rsidR="0000691A" w:rsidRPr="00D63DE5" w:rsidRDefault="0000691A" w:rsidP="002B1576">
      <w:pPr>
        <w:spacing w:after="200"/>
        <w:jc w:val="both"/>
        <w:rPr>
          <w:rFonts w:eastAsia="Calibri"/>
          <w:szCs w:val="24"/>
          <w:lang w:val="en-US"/>
        </w:rPr>
      </w:pPr>
      <w:r w:rsidRPr="00D63DE5">
        <w:rPr>
          <w:rFonts w:eastAsia="Calibri"/>
          <w:szCs w:val="24"/>
          <w:lang w:val="en-US"/>
        </w:rPr>
        <w:t xml:space="preserve">As of 30 April 2014, all these boats were seen grounded at Pointe </w:t>
      </w:r>
      <w:proofErr w:type="spellStart"/>
      <w:r w:rsidRPr="00D63DE5">
        <w:rPr>
          <w:rFonts w:eastAsia="Calibri"/>
          <w:szCs w:val="24"/>
          <w:lang w:val="en-US"/>
        </w:rPr>
        <w:t>Monier</w:t>
      </w:r>
      <w:proofErr w:type="spellEnd"/>
      <w:r w:rsidRPr="00D63DE5">
        <w:rPr>
          <w:rFonts w:eastAsia="Calibri"/>
          <w:szCs w:val="24"/>
          <w:lang w:val="en-US"/>
        </w:rPr>
        <w:t xml:space="preserve"> boatyard. </w:t>
      </w:r>
    </w:p>
    <w:p w:rsidR="00F32FCD" w:rsidRDefault="00F32FCD" w:rsidP="002B1576">
      <w:pPr>
        <w:jc w:val="both"/>
        <w:rPr>
          <w:rFonts w:eastAsia="Calibri"/>
          <w:i/>
          <w:szCs w:val="24"/>
          <w:lang w:val="en-US"/>
        </w:rPr>
      </w:pPr>
    </w:p>
    <w:p w:rsidR="0000691A" w:rsidRPr="00F32FCD" w:rsidRDefault="0000691A" w:rsidP="002B1576">
      <w:pPr>
        <w:spacing w:after="200"/>
        <w:jc w:val="both"/>
        <w:rPr>
          <w:rFonts w:eastAsia="Calibri"/>
          <w:b/>
          <w:i/>
          <w:szCs w:val="24"/>
          <w:lang w:val="en-US"/>
        </w:rPr>
      </w:pPr>
      <w:r w:rsidRPr="00F32FCD">
        <w:rPr>
          <w:rFonts w:eastAsia="Calibri"/>
          <w:b/>
          <w:i/>
          <w:szCs w:val="24"/>
          <w:lang w:val="en-US"/>
        </w:rPr>
        <w:t>Recommendation</w:t>
      </w:r>
    </w:p>
    <w:p w:rsidR="0000691A" w:rsidRPr="00D63DE5" w:rsidRDefault="0000691A" w:rsidP="002B1576">
      <w:pPr>
        <w:spacing w:after="200"/>
        <w:jc w:val="both"/>
        <w:rPr>
          <w:rFonts w:eastAsia="Calibri"/>
          <w:szCs w:val="24"/>
          <w:lang w:val="en-US"/>
        </w:rPr>
      </w:pPr>
      <w:r w:rsidRPr="00D63DE5">
        <w:rPr>
          <w:rFonts w:eastAsia="Calibri"/>
          <w:szCs w:val="24"/>
          <w:lang w:val="en-US"/>
        </w:rPr>
        <w:t>The six outer lagoon boats should be repaired and made seaworthy.</w:t>
      </w:r>
    </w:p>
    <w:p w:rsidR="00F32FCD" w:rsidRDefault="00F32FCD" w:rsidP="002B1576">
      <w:pPr>
        <w:jc w:val="both"/>
        <w:rPr>
          <w:rFonts w:eastAsia="Calibri"/>
          <w:i/>
          <w:szCs w:val="24"/>
          <w:lang w:val="en-US"/>
        </w:rPr>
      </w:pPr>
    </w:p>
    <w:p w:rsidR="0000691A" w:rsidRPr="00F32FCD" w:rsidRDefault="0000691A" w:rsidP="002B1576">
      <w:pPr>
        <w:spacing w:after="200"/>
        <w:jc w:val="both"/>
        <w:rPr>
          <w:rFonts w:eastAsia="Calibri"/>
          <w:b/>
          <w:i/>
          <w:szCs w:val="24"/>
          <w:lang w:val="en-US"/>
        </w:rPr>
      </w:pPr>
      <w:r w:rsidRPr="00F32FCD">
        <w:rPr>
          <w:rFonts w:eastAsia="Calibri"/>
          <w:b/>
          <w:i/>
          <w:szCs w:val="24"/>
          <w:lang w:val="en-US"/>
        </w:rPr>
        <w:t>RRA’s Reply</w:t>
      </w:r>
    </w:p>
    <w:p w:rsidR="0000691A" w:rsidRPr="00D63DE5" w:rsidRDefault="0000691A" w:rsidP="002B1576">
      <w:pPr>
        <w:spacing w:after="200"/>
        <w:jc w:val="both"/>
        <w:rPr>
          <w:rFonts w:eastAsia="Calibri"/>
          <w:szCs w:val="24"/>
          <w:lang w:val="en-US"/>
        </w:rPr>
      </w:pPr>
      <w:r w:rsidRPr="00D63DE5">
        <w:rPr>
          <w:rFonts w:eastAsia="Calibri"/>
          <w:szCs w:val="24"/>
          <w:lang w:val="en-US"/>
        </w:rPr>
        <w:t xml:space="preserve">The Commission has initiated necessary action to repair the boats and make them seaworthy again. </w:t>
      </w:r>
      <w:r w:rsidR="00B245F1">
        <w:rPr>
          <w:rFonts w:eastAsia="Calibri"/>
          <w:szCs w:val="24"/>
          <w:lang w:val="en-US"/>
        </w:rPr>
        <w:t>A contract has been awarded for the repairs and rehabilitation of the six fishing boats.</w:t>
      </w:r>
    </w:p>
    <w:p w:rsidR="0000691A" w:rsidRPr="00D63DE5" w:rsidRDefault="0000691A" w:rsidP="002B1576">
      <w:pPr>
        <w:jc w:val="both"/>
        <w:rPr>
          <w:rFonts w:eastAsia="Calibri"/>
          <w:szCs w:val="24"/>
          <w:lang w:val="en-US"/>
        </w:rPr>
      </w:pPr>
    </w:p>
    <w:p w:rsidR="0000691A" w:rsidRPr="00D63DE5" w:rsidRDefault="007B034E" w:rsidP="002B1576">
      <w:pPr>
        <w:spacing w:after="200"/>
        <w:jc w:val="both"/>
        <w:rPr>
          <w:rFonts w:eastAsia="Calibri"/>
          <w:b/>
          <w:i/>
          <w:szCs w:val="24"/>
          <w:lang w:val="en-US"/>
        </w:rPr>
      </w:pPr>
      <w:r>
        <w:rPr>
          <w:rFonts w:eastAsia="Calibri"/>
          <w:b/>
          <w:i/>
          <w:szCs w:val="24"/>
          <w:lang w:val="en-US"/>
        </w:rPr>
        <w:t>6.2.</w:t>
      </w:r>
      <w:r w:rsidR="0000691A" w:rsidRPr="00D63DE5">
        <w:rPr>
          <w:rFonts w:eastAsia="Calibri"/>
          <w:b/>
          <w:i/>
          <w:szCs w:val="24"/>
          <w:lang w:val="en-US"/>
        </w:rPr>
        <w:t xml:space="preserve">3 </w:t>
      </w:r>
      <w:r w:rsidR="00F93F1F">
        <w:rPr>
          <w:rFonts w:eastAsia="Calibri"/>
          <w:b/>
          <w:i/>
          <w:szCs w:val="24"/>
          <w:lang w:val="en-US"/>
        </w:rPr>
        <w:t xml:space="preserve"> </w:t>
      </w:r>
      <w:r w:rsidR="0000691A" w:rsidRPr="00D63DE5">
        <w:rPr>
          <w:rFonts w:eastAsia="Calibri"/>
          <w:b/>
          <w:i/>
          <w:szCs w:val="24"/>
          <w:lang w:val="en-US"/>
        </w:rPr>
        <w:t xml:space="preserve">Francois </w:t>
      </w:r>
      <w:proofErr w:type="spellStart"/>
      <w:r w:rsidR="0000691A" w:rsidRPr="00D63DE5">
        <w:rPr>
          <w:rFonts w:eastAsia="Calibri"/>
          <w:b/>
          <w:i/>
          <w:szCs w:val="24"/>
          <w:lang w:val="en-US"/>
        </w:rPr>
        <w:t>Leguat</w:t>
      </w:r>
      <w:proofErr w:type="spellEnd"/>
      <w:r w:rsidR="0000691A" w:rsidRPr="00D63DE5">
        <w:rPr>
          <w:rFonts w:eastAsia="Calibri"/>
          <w:b/>
          <w:i/>
          <w:szCs w:val="24"/>
          <w:lang w:val="en-US"/>
        </w:rPr>
        <w:t xml:space="preserve"> Fishing Vessel</w:t>
      </w:r>
    </w:p>
    <w:p w:rsidR="0000691A" w:rsidRPr="00D63DE5" w:rsidRDefault="0000691A" w:rsidP="002B1576">
      <w:pPr>
        <w:spacing w:after="200"/>
        <w:jc w:val="both"/>
        <w:rPr>
          <w:rFonts w:eastAsia="Calibri"/>
          <w:szCs w:val="24"/>
          <w:lang w:val="en-US"/>
        </w:rPr>
      </w:pPr>
      <w:r w:rsidRPr="00D63DE5">
        <w:rPr>
          <w:rFonts w:eastAsia="Calibri"/>
          <w:szCs w:val="24"/>
          <w:lang w:val="en-US"/>
        </w:rPr>
        <w:t xml:space="preserve">An agreement was signed on 23 October 2012 between the RRA and a Cooperative Society whereby the Francois </w:t>
      </w:r>
      <w:proofErr w:type="spellStart"/>
      <w:r w:rsidRPr="00D63DE5">
        <w:rPr>
          <w:rFonts w:eastAsia="Calibri"/>
          <w:szCs w:val="24"/>
          <w:lang w:val="en-US"/>
        </w:rPr>
        <w:t>Leguat</w:t>
      </w:r>
      <w:proofErr w:type="spellEnd"/>
      <w:r w:rsidRPr="00D63DE5">
        <w:rPr>
          <w:rFonts w:eastAsia="Calibri"/>
          <w:szCs w:val="24"/>
          <w:lang w:val="en-US"/>
        </w:rPr>
        <w:t xml:space="preserve"> Fishing Vessel with estimated market value of Rs 800,000 was allocated to that Society for outer lagoon fishing activities. The duration of the contract was for a period of one year in consideration of one per cent of its monthly revenue from fishing activities.</w:t>
      </w:r>
    </w:p>
    <w:p w:rsidR="0000691A" w:rsidRPr="00D63DE5" w:rsidRDefault="0000691A" w:rsidP="002B1576">
      <w:pPr>
        <w:numPr>
          <w:ilvl w:val="0"/>
          <w:numId w:val="12"/>
        </w:numPr>
        <w:spacing w:after="200"/>
        <w:contextualSpacing/>
        <w:jc w:val="both"/>
        <w:rPr>
          <w:rFonts w:eastAsia="Calibri"/>
          <w:szCs w:val="24"/>
          <w:lang w:val="en-US"/>
        </w:rPr>
      </w:pPr>
      <w:r w:rsidRPr="00D63DE5">
        <w:rPr>
          <w:rFonts w:eastAsia="Calibri"/>
          <w:szCs w:val="24"/>
          <w:lang w:val="en-US"/>
        </w:rPr>
        <w:t xml:space="preserve">A review of performance of the Society in relation with fishing activities revealed that there was gross underutilization of the fishing vessel which has a fish hold volume of </w:t>
      </w:r>
      <w:r w:rsidR="00F93F1F">
        <w:rPr>
          <w:rFonts w:eastAsia="Calibri"/>
          <w:szCs w:val="24"/>
          <w:lang w:val="en-US"/>
        </w:rPr>
        <w:br/>
      </w:r>
      <w:r w:rsidRPr="00D63DE5">
        <w:rPr>
          <w:rFonts w:eastAsia="Calibri"/>
          <w:szCs w:val="24"/>
          <w:lang w:val="en-US"/>
        </w:rPr>
        <w:t xml:space="preserve">2.3 cubic </w:t>
      </w:r>
      <w:proofErr w:type="spellStart"/>
      <w:r w:rsidRPr="00D63DE5">
        <w:rPr>
          <w:rFonts w:eastAsia="Calibri"/>
          <w:szCs w:val="24"/>
          <w:lang w:val="en-US"/>
        </w:rPr>
        <w:t>metre</w:t>
      </w:r>
      <w:proofErr w:type="spellEnd"/>
      <w:r w:rsidRPr="00D63DE5">
        <w:rPr>
          <w:rFonts w:eastAsia="Calibri"/>
          <w:szCs w:val="24"/>
          <w:lang w:val="en-US"/>
        </w:rPr>
        <w:t>. 27 outings were undertaken during the contractual period</w:t>
      </w:r>
      <w:r w:rsidR="00B245F1">
        <w:rPr>
          <w:rFonts w:eastAsia="Calibri"/>
          <w:szCs w:val="24"/>
          <w:lang w:val="en-US"/>
        </w:rPr>
        <w:t>,</w:t>
      </w:r>
      <w:r w:rsidRPr="00D63DE5">
        <w:rPr>
          <w:rFonts w:eastAsia="Calibri"/>
          <w:szCs w:val="24"/>
          <w:lang w:val="en-US"/>
        </w:rPr>
        <w:t xml:space="preserve"> and only an amount of Rs 1,312 was remitted to the Commission in November 2013.</w:t>
      </w:r>
    </w:p>
    <w:p w:rsidR="0000691A" w:rsidRPr="00D63DE5" w:rsidRDefault="0000691A" w:rsidP="002B1576">
      <w:pPr>
        <w:spacing w:after="200"/>
        <w:ind w:left="360"/>
        <w:contextualSpacing/>
        <w:jc w:val="both"/>
        <w:rPr>
          <w:rFonts w:eastAsia="Calibri"/>
          <w:szCs w:val="24"/>
          <w:lang w:val="en-US"/>
        </w:rPr>
      </w:pPr>
    </w:p>
    <w:p w:rsidR="0000691A" w:rsidRDefault="0000691A" w:rsidP="002B1576">
      <w:pPr>
        <w:numPr>
          <w:ilvl w:val="0"/>
          <w:numId w:val="11"/>
        </w:numPr>
        <w:spacing w:after="200"/>
        <w:contextualSpacing/>
        <w:jc w:val="both"/>
        <w:rPr>
          <w:rFonts w:eastAsia="Calibri"/>
          <w:szCs w:val="24"/>
          <w:lang w:val="en-US"/>
        </w:rPr>
      </w:pPr>
      <w:r w:rsidRPr="00D63DE5">
        <w:rPr>
          <w:rFonts w:eastAsia="Calibri"/>
          <w:szCs w:val="24"/>
          <w:lang w:val="en-US"/>
        </w:rPr>
        <w:t>The financial sustainability of the Society has not been assessed by the Commission prior to signing the contract. The financial statements of the Society for the year ended June 2013 showed a loss of Rs 556</w:t>
      </w:r>
      <w:r w:rsidR="00B245F1">
        <w:rPr>
          <w:rFonts w:eastAsia="Calibri"/>
          <w:szCs w:val="24"/>
          <w:lang w:val="en-US"/>
        </w:rPr>
        <w:t>,</w:t>
      </w:r>
      <w:r w:rsidRPr="00D63DE5">
        <w:rPr>
          <w:rFonts w:eastAsia="Calibri"/>
          <w:szCs w:val="24"/>
          <w:lang w:val="en-US"/>
        </w:rPr>
        <w:t xml:space="preserve"> and its expenses of Rs 330,5</w:t>
      </w:r>
      <w:r w:rsidR="00D03B50">
        <w:rPr>
          <w:rFonts w:eastAsia="Calibri"/>
          <w:szCs w:val="24"/>
          <w:lang w:val="en-US"/>
        </w:rPr>
        <w:t>68 were financed from donation.</w:t>
      </w:r>
    </w:p>
    <w:p w:rsidR="00D03B50" w:rsidRPr="00D63DE5" w:rsidRDefault="00D03B50" w:rsidP="002B1576">
      <w:pPr>
        <w:spacing w:after="200"/>
        <w:ind w:left="360"/>
        <w:contextualSpacing/>
        <w:jc w:val="both"/>
        <w:rPr>
          <w:rFonts w:eastAsia="Calibri"/>
          <w:szCs w:val="24"/>
          <w:lang w:val="en-US"/>
        </w:rPr>
      </w:pPr>
    </w:p>
    <w:p w:rsidR="0000691A" w:rsidRPr="00D63DE5" w:rsidRDefault="0000691A" w:rsidP="002B1576">
      <w:pPr>
        <w:numPr>
          <w:ilvl w:val="0"/>
          <w:numId w:val="13"/>
        </w:numPr>
        <w:spacing w:after="200"/>
        <w:jc w:val="both"/>
        <w:rPr>
          <w:rFonts w:eastAsia="Calibri"/>
          <w:szCs w:val="24"/>
          <w:lang w:val="en-US"/>
        </w:rPr>
      </w:pPr>
      <w:r w:rsidRPr="00D63DE5">
        <w:rPr>
          <w:rFonts w:eastAsia="Calibri"/>
          <w:szCs w:val="24"/>
          <w:lang w:val="en-US"/>
        </w:rPr>
        <w:t xml:space="preserve">As of April 2014, the vessel was seen idle, moored at Pointe </w:t>
      </w:r>
      <w:proofErr w:type="spellStart"/>
      <w:r w:rsidRPr="00D63DE5">
        <w:rPr>
          <w:rFonts w:eastAsia="Calibri"/>
          <w:szCs w:val="24"/>
          <w:lang w:val="en-US"/>
        </w:rPr>
        <w:t>Monier</w:t>
      </w:r>
      <w:proofErr w:type="spellEnd"/>
      <w:r w:rsidRPr="00D63DE5">
        <w:rPr>
          <w:rFonts w:eastAsia="Calibri"/>
          <w:szCs w:val="24"/>
          <w:lang w:val="en-US"/>
        </w:rPr>
        <w:t xml:space="preserve"> boatyard.</w:t>
      </w:r>
    </w:p>
    <w:p w:rsidR="0000691A" w:rsidRPr="00F32FCD" w:rsidRDefault="0000691A" w:rsidP="002B1576">
      <w:pPr>
        <w:spacing w:after="200"/>
        <w:jc w:val="both"/>
        <w:rPr>
          <w:rFonts w:eastAsia="Calibri"/>
          <w:b/>
          <w:i/>
          <w:szCs w:val="24"/>
          <w:lang w:val="en-US"/>
        </w:rPr>
      </w:pPr>
      <w:r w:rsidRPr="00F32FCD">
        <w:rPr>
          <w:rFonts w:eastAsia="Calibri"/>
          <w:b/>
          <w:i/>
          <w:szCs w:val="24"/>
          <w:lang w:val="en-US"/>
        </w:rPr>
        <w:lastRenderedPageBreak/>
        <w:t>Recommendation</w:t>
      </w:r>
    </w:p>
    <w:p w:rsidR="0000691A" w:rsidRPr="00D63DE5" w:rsidRDefault="0000691A" w:rsidP="002B1576">
      <w:pPr>
        <w:spacing w:after="200"/>
        <w:jc w:val="both"/>
        <w:rPr>
          <w:rFonts w:eastAsia="Calibri"/>
          <w:szCs w:val="24"/>
          <w:lang w:val="en-US"/>
        </w:rPr>
      </w:pPr>
      <w:r w:rsidRPr="00D63DE5">
        <w:rPr>
          <w:rFonts w:eastAsia="Calibri"/>
          <w:szCs w:val="24"/>
          <w:lang w:val="en-US"/>
        </w:rPr>
        <w:t>The vessel should not remain idle in an abandoned state</w:t>
      </w:r>
      <w:r w:rsidR="00B245F1">
        <w:rPr>
          <w:rFonts w:eastAsia="Calibri"/>
          <w:szCs w:val="24"/>
          <w:lang w:val="en-US"/>
        </w:rPr>
        <w:t>.</w:t>
      </w:r>
      <w:r w:rsidRPr="00D63DE5">
        <w:rPr>
          <w:rFonts w:eastAsia="Calibri"/>
          <w:szCs w:val="24"/>
          <w:lang w:val="en-US"/>
        </w:rPr>
        <w:t xml:space="preserve"> </w:t>
      </w:r>
      <w:r w:rsidR="00B245F1">
        <w:rPr>
          <w:rFonts w:eastAsia="Calibri"/>
          <w:szCs w:val="24"/>
          <w:lang w:val="en-US"/>
        </w:rPr>
        <w:t>N</w:t>
      </w:r>
      <w:r w:rsidRPr="00D63DE5">
        <w:rPr>
          <w:rFonts w:eastAsia="Calibri"/>
          <w:szCs w:val="24"/>
          <w:lang w:val="en-US"/>
        </w:rPr>
        <w:t>ew modalities should be worked out to make maximum use of it.</w:t>
      </w:r>
    </w:p>
    <w:p w:rsidR="0000691A" w:rsidRPr="00F32FCD" w:rsidRDefault="0000691A" w:rsidP="002B1576">
      <w:pPr>
        <w:spacing w:after="200"/>
        <w:jc w:val="both"/>
        <w:rPr>
          <w:rFonts w:eastAsia="Calibri"/>
          <w:b/>
          <w:i/>
          <w:szCs w:val="24"/>
          <w:lang w:val="en-US"/>
        </w:rPr>
      </w:pPr>
      <w:r w:rsidRPr="00F32FCD">
        <w:rPr>
          <w:rFonts w:eastAsia="Calibri"/>
          <w:b/>
          <w:i/>
          <w:szCs w:val="24"/>
          <w:lang w:val="en-US"/>
        </w:rPr>
        <w:t>RRA’s Reply</w:t>
      </w:r>
    </w:p>
    <w:p w:rsidR="0000691A" w:rsidRPr="007F0EFD" w:rsidRDefault="0000691A" w:rsidP="002B1576">
      <w:pPr>
        <w:jc w:val="both"/>
        <w:rPr>
          <w:rFonts w:eastAsia="Calibri"/>
          <w:b/>
          <w:szCs w:val="24"/>
          <w:lang w:val="en-US"/>
        </w:rPr>
      </w:pPr>
      <w:r w:rsidRPr="00D63DE5">
        <w:rPr>
          <w:rFonts w:eastAsia="Calibri"/>
          <w:szCs w:val="24"/>
          <w:lang w:val="en-US"/>
        </w:rPr>
        <w:t>The Executive Council has approved that Expression of Interest be launched to invite Cooperative Societies to submi</w:t>
      </w:r>
      <w:r w:rsidR="009B49AF">
        <w:rPr>
          <w:rFonts w:eastAsia="Calibri"/>
          <w:szCs w:val="24"/>
          <w:lang w:val="en-US"/>
        </w:rPr>
        <w:t>t their proposals for the utilis</w:t>
      </w:r>
      <w:r w:rsidRPr="00D63DE5">
        <w:rPr>
          <w:rFonts w:eastAsia="Calibri"/>
          <w:szCs w:val="24"/>
          <w:lang w:val="en-US"/>
        </w:rPr>
        <w:t>ation of the boat. It will be provided to the Society which is most responsive to the criteria set out in the Expression of Interest.</w:t>
      </w:r>
    </w:p>
    <w:sectPr w:rsidR="0000691A" w:rsidRPr="007F0EFD" w:rsidSect="00F728D0">
      <w:footerReference w:type="default" r:id="rId24"/>
      <w:headerReference w:type="first" r:id="rId25"/>
      <w:pgSz w:w="11907" w:h="16839" w:code="9"/>
      <w:pgMar w:top="1440" w:right="1440" w:bottom="1440" w:left="1440" w:header="706" w:footer="432"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BC" w:rsidRDefault="00230DBC" w:rsidP="0089293B">
      <w:r>
        <w:separator/>
      </w:r>
    </w:p>
  </w:endnote>
  <w:endnote w:type="continuationSeparator" w:id="1">
    <w:p w:rsidR="00230DBC" w:rsidRDefault="00230DBC" w:rsidP="00892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0368"/>
      <w:docPartObj>
        <w:docPartGallery w:val="Page Numbers (Bottom of Page)"/>
        <w:docPartUnique/>
      </w:docPartObj>
    </w:sdtPr>
    <w:sdtContent>
      <w:p w:rsidR="00230DBC" w:rsidRDefault="004F3889">
        <w:pPr>
          <w:pStyle w:val="Footer"/>
          <w:jc w:val="center"/>
        </w:pPr>
      </w:p>
    </w:sdtContent>
  </w:sdt>
  <w:p w:rsidR="00230DBC" w:rsidRDefault="00230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5A14B9" w:rsidRDefault="004F3889" w:rsidP="00E9589F">
    <w:pPr>
      <w:pStyle w:val="Footer"/>
      <w:jc w:val="center"/>
    </w:pPr>
    <w:fldSimple w:instr=" PAGE   \* MERGEFORMAT ">
      <w:r w:rsidR="009B49AF">
        <w:rPr>
          <w:noProof/>
        </w:rPr>
        <w:t>2</w:t>
      </w:r>
    </w:fldSimple>
  </w:p>
  <w:p w:rsidR="00230DBC" w:rsidRPr="005A14B9" w:rsidRDefault="00230DBC" w:rsidP="00E9589F">
    <w:pPr>
      <w:pStyle w:val="Footer"/>
      <w:tabs>
        <w:tab w:val="center" w:pos="4513"/>
        <w:tab w:val="left" w:pos="5895"/>
      </w:tabs>
      <w:jc w:val="center"/>
      <w:rPr>
        <w:smallCaps/>
        <w:sz w:val="18"/>
        <w:szCs w:val="18"/>
      </w:rPr>
    </w:pPr>
    <w:r w:rsidRPr="0098707D">
      <w:rPr>
        <w:bCs/>
        <w:smallCaps/>
        <w:sz w:val="18"/>
        <w:szCs w:val="18"/>
      </w:rPr>
      <w:t>Introduction</w:t>
    </w:r>
  </w:p>
  <w:p w:rsidR="00230DBC" w:rsidRDefault="00230D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0373"/>
      <w:docPartObj>
        <w:docPartGallery w:val="Page Numbers (Bottom of Page)"/>
        <w:docPartUnique/>
      </w:docPartObj>
    </w:sdtPr>
    <w:sdtContent>
      <w:p w:rsidR="00230DBC" w:rsidRDefault="004F3889" w:rsidP="00E9589F">
        <w:pPr>
          <w:pStyle w:val="Footer"/>
          <w:jc w:val="center"/>
        </w:pPr>
        <w:fldSimple w:instr=" PAGE   \* MERGEFORMAT ">
          <w:r w:rsidR="009B49AF">
            <w:rPr>
              <w:noProof/>
            </w:rPr>
            <w:t>31</w:t>
          </w:r>
        </w:fldSimple>
      </w:p>
    </w:sdtContent>
  </w:sdt>
  <w:p w:rsidR="00230DBC" w:rsidRDefault="00230D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5A14B9" w:rsidRDefault="004F3889" w:rsidP="00E9589F">
    <w:pPr>
      <w:pStyle w:val="Footer"/>
      <w:jc w:val="center"/>
    </w:pPr>
    <w:fldSimple w:instr=" PAGE   \* MERGEFORMAT ">
      <w:r w:rsidR="009B49AF">
        <w:rPr>
          <w:noProof/>
        </w:rPr>
        <w:t>13</w:t>
      </w:r>
    </w:fldSimple>
  </w:p>
  <w:p w:rsidR="00230DBC" w:rsidRPr="00E9589F" w:rsidRDefault="00230DBC" w:rsidP="00BD502D">
    <w:pPr>
      <w:pStyle w:val="Footer"/>
      <w:tabs>
        <w:tab w:val="center" w:pos="4513"/>
        <w:tab w:val="left" w:pos="5895"/>
      </w:tabs>
      <w:jc w:val="center"/>
    </w:pPr>
    <w:r w:rsidRPr="00A066D0">
      <w:rPr>
        <w:bCs/>
        <w:smallCaps/>
        <w:sz w:val="18"/>
        <w:szCs w:val="18"/>
      </w:rPr>
      <w:t>Annual Financial Statements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Default="004F3889" w:rsidP="00E9589F">
    <w:pPr>
      <w:pStyle w:val="Footer"/>
      <w:jc w:val="center"/>
    </w:pPr>
    <w:fldSimple w:instr=" PAGE   \* MERGEFORMAT ">
      <w:r w:rsidR="009B49AF">
        <w:rPr>
          <w:noProof/>
        </w:rPr>
        <w:t>23</w:t>
      </w:r>
    </w:fldSimple>
  </w:p>
  <w:p w:rsidR="00230DBC" w:rsidRPr="008E5B92" w:rsidRDefault="00230DBC" w:rsidP="00E9589F">
    <w:pPr>
      <w:pStyle w:val="Footer"/>
      <w:jc w:val="center"/>
      <w:rPr>
        <w:smallCaps/>
        <w:sz w:val="18"/>
        <w:szCs w:val="18"/>
      </w:rPr>
    </w:pPr>
    <w:r w:rsidRPr="008E5B92">
      <w:rPr>
        <w:smallCaps/>
        <w:sz w:val="18"/>
        <w:szCs w:val="18"/>
      </w:rPr>
      <w:t>Chief Commissioner’s Office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Default="004F3889" w:rsidP="00E9589F">
    <w:pPr>
      <w:pStyle w:val="Footer"/>
      <w:jc w:val="center"/>
    </w:pPr>
    <w:fldSimple w:instr=" PAGE   \* MERGEFORMAT ">
      <w:r w:rsidR="009B49AF">
        <w:rPr>
          <w:noProof/>
        </w:rPr>
        <w:t>28</w:t>
      </w:r>
    </w:fldSimple>
  </w:p>
  <w:p w:rsidR="00230DBC" w:rsidRPr="00F728D0" w:rsidRDefault="00230DBC" w:rsidP="00F728D0">
    <w:pPr>
      <w:jc w:val="center"/>
      <w:rPr>
        <w:smallCaps/>
        <w:sz w:val="18"/>
        <w:szCs w:val="18"/>
      </w:rPr>
    </w:pPr>
    <w:r w:rsidRPr="00F728D0">
      <w:rPr>
        <w:smallCaps/>
        <w:sz w:val="18"/>
        <w:szCs w:val="18"/>
      </w:rPr>
      <w:t>Commission for Public Infrastructure, Water Resources, Housing and Land Transport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Default="004F3889" w:rsidP="00E9589F">
    <w:pPr>
      <w:pStyle w:val="Footer"/>
      <w:jc w:val="center"/>
    </w:pPr>
    <w:fldSimple w:instr=" PAGE   \* MERGEFORMAT ">
      <w:r w:rsidR="009B49AF">
        <w:rPr>
          <w:noProof/>
        </w:rPr>
        <w:t>30</w:t>
      </w:r>
    </w:fldSimple>
  </w:p>
  <w:p w:rsidR="00230DBC" w:rsidRPr="00F957A9" w:rsidRDefault="00230DBC" w:rsidP="00F957A9">
    <w:pPr>
      <w:jc w:val="center"/>
      <w:rPr>
        <w:smallCaps/>
        <w:sz w:val="18"/>
        <w:szCs w:val="18"/>
      </w:rPr>
    </w:pPr>
    <w:r w:rsidRPr="00F957A9">
      <w:rPr>
        <w:smallCaps/>
        <w:sz w:val="18"/>
        <w:szCs w:val="18"/>
      </w:rPr>
      <w:t>Commission for Health and Sports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Default="004F3889" w:rsidP="00E9589F">
    <w:pPr>
      <w:pStyle w:val="Footer"/>
      <w:jc w:val="center"/>
    </w:pPr>
    <w:fldSimple w:instr=" PAGE   \* MERGEFORMAT ">
      <w:r w:rsidR="009B49AF">
        <w:rPr>
          <w:noProof/>
        </w:rPr>
        <w:t>34</w:t>
      </w:r>
    </w:fldSimple>
  </w:p>
  <w:p w:rsidR="00230DBC" w:rsidRPr="004A483D" w:rsidRDefault="00230DBC" w:rsidP="004A483D">
    <w:pPr>
      <w:jc w:val="center"/>
      <w:rPr>
        <w:smallCaps/>
        <w:sz w:val="18"/>
        <w:szCs w:val="18"/>
      </w:rPr>
    </w:pPr>
    <w:r w:rsidRPr="004A483D">
      <w:rPr>
        <w:smallCaps/>
        <w:sz w:val="18"/>
        <w:szCs w:val="18"/>
      </w:rPr>
      <w:t>Commission for Environment, Forestry, Tourism, Marine Parks and Fisheries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BC" w:rsidRDefault="00230DBC" w:rsidP="0089293B">
      <w:r>
        <w:separator/>
      </w:r>
    </w:p>
  </w:footnote>
  <w:footnote w:type="continuationSeparator" w:id="1">
    <w:p w:rsidR="00230DBC" w:rsidRDefault="00230DBC" w:rsidP="00892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Default="00230DBC" w:rsidP="0089293B">
    <w:pPr>
      <w:jc w:val="center"/>
      <w:rPr>
        <w:smallCaps/>
        <w:color w:val="0000FF"/>
        <w:sz w:val="40"/>
        <w:szCs w:val="4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F728D0" w:rsidRDefault="00230DBC" w:rsidP="00F728D0">
    <w:pPr>
      <w:jc w:val="center"/>
      <w:rPr>
        <w:szCs w:val="40"/>
        <w:lang w:val="en-US"/>
      </w:rPr>
    </w:pPr>
    <w:r w:rsidRPr="004A483D">
      <w:rPr>
        <w:smallCaps/>
        <w:color w:val="0000FF"/>
        <w:sz w:val="40"/>
        <w:szCs w:val="40"/>
        <w:lang w:val="en-US"/>
      </w:rPr>
      <w:t>6 - Commission for Environment, Forestry, Tourism, Marine Parks and Fisheries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C44FDB" w:rsidRDefault="00230DBC" w:rsidP="00C44FDB">
    <w:pPr>
      <w:pStyle w:val="Header"/>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473B7A" w:rsidRDefault="00230DBC" w:rsidP="00473B7A">
    <w:pPr>
      <w:pStyle w:val="Header"/>
      <w:jc w:val="center"/>
      <w:rPr>
        <w:smallCaps/>
        <w:color w:val="0000FF"/>
        <w:sz w:val="40"/>
        <w:szCs w:val="40"/>
        <w:lang w:val="en-US"/>
      </w:rPr>
    </w:pPr>
    <w:r w:rsidRPr="00473B7A">
      <w:rPr>
        <w:smallCaps/>
        <w:color w:val="0000FF"/>
        <w:sz w:val="40"/>
        <w:szCs w:val="40"/>
        <w:lang w:val="en-US"/>
      </w:rP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473B7A" w:rsidRDefault="00230DBC" w:rsidP="00473B7A">
    <w:pPr>
      <w:pStyle w:val="Header"/>
      <w:jc w:val="center"/>
      <w:rPr>
        <w:smallCaps/>
        <w:color w:val="0000FF"/>
        <w:sz w:val="40"/>
        <w:szCs w:val="40"/>
        <w:lang w:val="en-US"/>
      </w:rPr>
    </w:pPr>
    <w:r>
      <w:rPr>
        <w:smallCaps/>
        <w:color w:val="0000FF"/>
        <w:sz w:val="40"/>
        <w:szCs w:val="40"/>
        <w:lang w:val="en-US"/>
      </w:rPr>
      <w:t>2 - Annual Financial Statements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E9589F" w:rsidRDefault="00230DBC" w:rsidP="00E9589F">
    <w:pPr>
      <w:pStyle w:val="Header"/>
      <w:jc w:val="center"/>
      <w:rPr>
        <w:smallCaps/>
        <w:color w:val="0000FF"/>
        <w:sz w:val="40"/>
        <w:szCs w:val="40"/>
      </w:rPr>
    </w:pPr>
    <w:r w:rsidRPr="00E9589F">
      <w:rPr>
        <w:smallCaps/>
        <w:color w:val="0000FF"/>
        <w:sz w:val="40"/>
        <w:szCs w:val="40"/>
      </w:rPr>
      <w:t>3 - Chief Commissioner’s Office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C44FDB" w:rsidRDefault="00230DBC" w:rsidP="00C44FDB">
    <w:pPr>
      <w:pStyle w:val="Header"/>
      <w:rPr>
        <w:szCs w:val="4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E9589F" w:rsidRDefault="00230DBC" w:rsidP="00F957A9">
    <w:pPr>
      <w:ind w:left="630" w:hanging="630"/>
      <w:jc w:val="both"/>
      <w:rPr>
        <w:szCs w:val="40"/>
      </w:rPr>
    </w:pPr>
    <w:r w:rsidRPr="00E9589F">
      <w:rPr>
        <w:smallCaps/>
        <w:color w:val="0000FF"/>
        <w:sz w:val="40"/>
        <w:szCs w:val="40"/>
      </w:rPr>
      <w:t xml:space="preserve">4 - </w:t>
    </w:r>
    <w:r w:rsidRPr="00F957A9">
      <w:rPr>
        <w:smallCaps/>
        <w:color w:val="0000FF"/>
        <w:sz w:val="40"/>
        <w:szCs w:val="40"/>
      </w:rPr>
      <w:t>Commission for Public Infrastructure, Water Resources, Housing</w:t>
    </w:r>
    <w:r w:rsidRPr="00E9589F">
      <w:rPr>
        <w:smallCaps/>
        <w:color w:val="0000FF"/>
        <w:sz w:val="40"/>
        <w:szCs w:val="40"/>
      </w:rPr>
      <w:t xml:space="preserve"> and Land Transport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F728D0" w:rsidRDefault="00230DBC" w:rsidP="00F728D0">
    <w:pPr>
      <w:pStyle w:val="Header"/>
      <w:rPr>
        <w:szCs w:val="4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C" w:rsidRPr="004A483D" w:rsidRDefault="00230DBC" w:rsidP="004A483D">
    <w:pPr>
      <w:jc w:val="center"/>
      <w:rPr>
        <w:smallCaps/>
        <w:color w:val="0000FF"/>
        <w:sz w:val="40"/>
        <w:szCs w:val="40"/>
      </w:rPr>
    </w:pPr>
    <w:r>
      <w:rPr>
        <w:smallCaps/>
        <w:color w:val="0000FF"/>
        <w:sz w:val="40"/>
        <w:szCs w:val="40"/>
        <w:lang w:val="en-US"/>
      </w:rPr>
      <w:t>5</w:t>
    </w:r>
    <w:r w:rsidRPr="004A483D">
      <w:rPr>
        <w:smallCaps/>
        <w:color w:val="0000FF"/>
        <w:sz w:val="40"/>
        <w:szCs w:val="40"/>
        <w:lang w:val="en-US"/>
      </w:rPr>
      <w:t xml:space="preserve"> - </w:t>
    </w:r>
    <w:r w:rsidRPr="004A483D">
      <w:rPr>
        <w:smallCaps/>
        <w:color w:val="0000FF"/>
        <w:sz w:val="40"/>
        <w:szCs w:val="40"/>
      </w:rPr>
      <w:t>Commission for Health and Sports</w:t>
    </w:r>
  </w:p>
  <w:p w:rsidR="00230DBC" w:rsidRPr="00F728D0" w:rsidRDefault="00230DBC" w:rsidP="00F728D0">
    <w:pPr>
      <w:jc w:val="center"/>
      <w:rPr>
        <w:szCs w:val="4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BDF"/>
    <w:multiLevelType w:val="hybridMultilevel"/>
    <w:tmpl w:val="E0548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18579F0"/>
    <w:multiLevelType w:val="hybridMultilevel"/>
    <w:tmpl w:val="D0BC3A32"/>
    <w:lvl w:ilvl="0" w:tplc="BC66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0ACC"/>
    <w:multiLevelType w:val="hybridMultilevel"/>
    <w:tmpl w:val="AB4AD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D1037"/>
    <w:multiLevelType w:val="hybridMultilevel"/>
    <w:tmpl w:val="9978F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F5707"/>
    <w:multiLevelType w:val="hybridMultilevel"/>
    <w:tmpl w:val="524C90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F19B5"/>
    <w:multiLevelType w:val="hybridMultilevel"/>
    <w:tmpl w:val="F080F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B52F0"/>
    <w:multiLevelType w:val="hybridMultilevel"/>
    <w:tmpl w:val="AC108A5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16E10"/>
    <w:multiLevelType w:val="hybridMultilevel"/>
    <w:tmpl w:val="8C7E2E8C"/>
    <w:lvl w:ilvl="0" w:tplc="14C051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41370"/>
    <w:multiLevelType w:val="hybridMultilevel"/>
    <w:tmpl w:val="4CCC96C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E670BD"/>
    <w:multiLevelType w:val="hybridMultilevel"/>
    <w:tmpl w:val="918E5E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F32A3D"/>
    <w:multiLevelType w:val="hybridMultilevel"/>
    <w:tmpl w:val="55B0B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520AA"/>
    <w:multiLevelType w:val="hybridMultilevel"/>
    <w:tmpl w:val="C052A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7180F"/>
    <w:multiLevelType w:val="hybridMultilevel"/>
    <w:tmpl w:val="07826E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4C7A28"/>
    <w:multiLevelType w:val="hybridMultilevel"/>
    <w:tmpl w:val="2536E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80C3997"/>
    <w:multiLevelType w:val="hybridMultilevel"/>
    <w:tmpl w:val="2E2A6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76BC"/>
    <w:multiLevelType w:val="hybridMultilevel"/>
    <w:tmpl w:val="CB947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3298D"/>
    <w:multiLevelType w:val="hybridMultilevel"/>
    <w:tmpl w:val="C63EB0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02573"/>
    <w:multiLevelType w:val="hybridMultilevel"/>
    <w:tmpl w:val="53C2B5CE"/>
    <w:lvl w:ilvl="0" w:tplc="5106AF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B3A32"/>
    <w:multiLevelType w:val="hybridMultilevel"/>
    <w:tmpl w:val="91726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71A6F"/>
    <w:multiLevelType w:val="hybridMultilevel"/>
    <w:tmpl w:val="B9CEC1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DA27DB"/>
    <w:multiLevelType w:val="hybridMultilevel"/>
    <w:tmpl w:val="E550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1119E"/>
    <w:multiLevelType w:val="hybridMultilevel"/>
    <w:tmpl w:val="39CE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B2947"/>
    <w:multiLevelType w:val="hybridMultilevel"/>
    <w:tmpl w:val="5CE2C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57934"/>
    <w:multiLevelType w:val="hybridMultilevel"/>
    <w:tmpl w:val="5B2E57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66601"/>
    <w:multiLevelType w:val="hybridMultilevel"/>
    <w:tmpl w:val="8070C4E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7015704"/>
    <w:multiLevelType w:val="hybridMultilevel"/>
    <w:tmpl w:val="06345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22B24"/>
    <w:multiLevelType w:val="hybridMultilevel"/>
    <w:tmpl w:val="5B44C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060EF"/>
    <w:multiLevelType w:val="hybridMultilevel"/>
    <w:tmpl w:val="5032FAD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001579"/>
    <w:multiLevelType w:val="hybridMultilevel"/>
    <w:tmpl w:val="FF5E74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FE0F29"/>
    <w:multiLevelType w:val="hybridMultilevel"/>
    <w:tmpl w:val="3C4CAB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242252"/>
    <w:multiLevelType w:val="hybridMultilevel"/>
    <w:tmpl w:val="D3F6050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71C3119"/>
    <w:multiLevelType w:val="hybridMultilevel"/>
    <w:tmpl w:val="A350DE0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BA77C2E"/>
    <w:multiLevelType w:val="hybridMultilevel"/>
    <w:tmpl w:val="698EF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
  </w:num>
  <w:num w:numId="4">
    <w:abstractNumId w:val="16"/>
  </w:num>
  <w:num w:numId="5">
    <w:abstractNumId w:val="30"/>
  </w:num>
  <w:num w:numId="6">
    <w:abstractNumId w:val="7"/>
  </w:num>
  <w:num w:numId="7">
    <w:abstractNumId w:val="2"/>
  </w:num>
  <w:num w:numId="8">
    <w:abstractNumId w:val="18"/>
  </w:num>
  <w:num w:numId="9">
    <w:abstractNumId w:val="10"/>
  </w:num>
  <w:num w:numId="10">
    <w:abstractNumId w:val="5"/>
  </w:num>
  <w:num w:numId="11">
    <w:abstractNumId w:val="19"/>
  </w:num>
  <w:num w:numId="12">
    <w:abstractNumId w:val="28"/>
  </w:num>
  <w:num w:numId="13">
    <w:abstractNumId w:val="17"/>
  </w:num>
  <w:num w:numId="14">
    <w:abstractNumId w:val="15"/>
  </w:num>
  <w:num w:numId="15">
    <w:abstractNumId w:val="25"/>
  </w:num>
  <w:num w:numId="16">
    <w:abstractNumId w:val="20"/>
  </w:num>
  <w:num w:numId="17">
    <w:abstractNumId w:val="27"/>
  </w:num>
  <w:num w:numId="18">
    <w:abstractNumId w:val="12"/>
  </w:num>
  <w:num w:numId="19">
    <w:abstractNumId w:val="23"/>
  </w:num>
  <w:num w:numId="20">
    <w:abstractNumId w:val="4"/>
  </w:num>
  <w:num w:numId="21">
    <w:abstractNumId w:val="29"/>
  </w:num>
  <w:num w:numId="22">
    <w:abstractNumId w:val="22"/>
  </w:num>
  <w:num w:numId="23">
    <w:abstractNumId w:val="13"/>
  </w:num>
  <w:num w:numId="24">
    <w:abstractNumId w:val="6"/>
  </w:num>
  <w:num w:numId="25">
    <w:abstractNumId w:val="8"/>
  </w:num>
  <w:num w:numId="26">
    <w:abstractNumId w:val="0"/>
  </w:num>
  <w:num w:numId="27">
    <w:abstractNumId w:val="31"/>
  </w:num>
  <w:num w:numId="28">
    <w:abstractNumId w:val="32"/>
  </w:num>
  <w:num w:numId="29">
    <w:abstractNumId w:val="21"/>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32769"/>
  </w:hdrShapeDefaults>
  <w:footnotePr>
    <w:footnote w:id="0"/>
    <w:footnote w:id="1"/>
  </w:footnotePr>
  <w:endnotePr>
    <w:endnote w:id="0"/>
    <w:endnote w:id="1"/>
  </w:endnotePr>
  <w:compat/>
  <w:rsids>
    <w:rsidRoot w:val="0000691A"/>
    <w:rsid w:val="00004AAA"/>
    <w:rsid w:val="0000691A"/>
    <w:rsid w:val="0002369A"/>
    <w:rsid w:val="00034156"/>
    <w:rsid w:val="00127B02"/>
    <w:rsid w:val="001C4451"/>
    <w:rsid w:val="00230DBC"/>
    <w:rsid w:val="0024127B"/>
    <w:rsid w:val="002B1576"/>
    <w:rsid w:val="002B4D9B"/>
    <w:rsid w:val="002C0CE4"/>
    <w:rsid w:val="002F214A"/>
    <w:rsid w:val="00341DE0"/>
    <w:rsid w:val="00366561"/>
    <w:rsid w:val="003A413A"/>
    <w:rsid w:val="003C3895"/>
    <w:rsid w:val="003D1B86"/>
    <w:rsid w:val="003E2292"/>
    <w:rsid w:val="00413372"/>
    <w:rsid w:val="00423126"/>
    <w:rsid w:val="00447AD6"/>
    <w:rsid w:val="00452F89"/>
    <w:rsid w:val="00473B7A"/>
    <w:rsid w:val="004A1797"/>
    <w:rsid w:val="004A483D"/>
    <w:rsid w:val="004F3889"/>
    <w:rsid w:val="00511967"/>
    <w:rsid w:val="005949EA"/>
    <w:rsid w:val="00621FE7"/>
    <w:rsid w:val="0063754E"/>
    <w:rsid w:val="00666F62"/>
    <w:rsid w:val="006711CF"/>
    <w:rsid w:val="0069208E"/>
    <w:rsid w:val="006F6039"/>
    <w:rsid w:val="006F6F1C"/>
    <w:rsid w:val="00705F95"/>
    <w:rsid w:val="00725B15"/>
    <w:rsid w:val="007563EF"/>
    <w:rsid w:val="007656BE"/>
    <w:rsid w:val="00791BC2"/>
    <w:rsid w:val="007B034E"/>
    <w:rsid w:val="007B6A43"/>
    <w:rsid w:val="007B77C7"/>
    <w:rsid w:val="007D2D57"/>
    <w:rsid w:val="007D75EA"/>
    <w:rsid w:val="007F027E"/>
    <w:rsid w:val="007F5D9A"/>
    <w:rsid w:val="008024CD"/>
    <w:rsid w:val="00877E29"/>
    <w:rsid w:val="00891598"/>
    <w:rsid w:val="0089293B"/>
    <w:rsid w:val="008E5B92"/>
    <w:rsid w:val="0090103C"/>
    <w:rsid w:val="00986470"/>
    <w:rsid w:val="00995155"/>
    <w:rsid w:val="009B49AF"/>
    <w:rsid w:val="009C3463"/>
    <w:rsid w:val="009E145A"/>
    <w:rsid w:val="009F545D"/>
    <w:rsid w:val="00A15EB2"/>
    <w:rsid w:val="00A3444F"/>
    <w:rsid w:val="00A35F3F"/>
    <w:rsid w:val="00AA1ABB"/>
    <w:rsid w:val="00AB7274"/>
    <w:rsid w:val="00AE0DDA"/>
    <w:rsid w:val="00AE695E"/>
    <w:rsid w:val="00AF4191"/>
    <w:rsid w:val="00B1148A"/>
    <w:rsid w:val="00B245F1"/>
    <w:rsid w:val="00B70CFC"/>
    <w:rsid w:val="00BD502D"/>
    <w:rsid w:val="00C43109"/>
    <w:rsid w:val="00C44FDB"/>
    <w:rsid w:val="00CC449F"/>
    <w:rsid w:val="00D03B50"/>
    <w:rsid w:val="00D27E4E"/>
    <w:rsid w:val="00D708DA"/>
    <w:rsid w:val="00D85D11"/>
    <w:rsid w:val="00D9603F"/>
    <w:rsid w:val="00DF0496"/>
    <w:rsid w:val="00E45EBD"/>
    <w:rsid w:val="00E60163"/>
    <w:rsid w:val="00E60D9C"/>
    <w:rsid w:val="00E91813"/>
    <w:rsid w:val="00E9589F"/>
    <w:rsid w:val="00ED1D0B"/>
    <w:rsid w:val="00EE15AD"/>
    <w:rsid w:val="00F32FCD"/>
    <w:rsid w:val="00F42CB7"/>
    <w:rsid w:val="00F55F26"/>
    <w:rsid w:val="00F728D0"/>
    <w:rsid w:val="00F93F1F"/>
    <w:rsid w:val="00F957A9"/>
    <w:rsid w:val="00FE0A53"/>
    <w:rsid w:val="00FF1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1A"/>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4231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2312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691A"/>
    <w:pPr>
      <w:spacing w:after="200" w:line="276" w:lineRule="auto"/>
      <w:ind w:left="720"/>
      <w:contextualSpacing/>
    </w:pPr>
    <w:rPr>
      <w:rFonts w:ascii="Calibri" w:eastAsia="Calibri" w:hAnsi="Calibri"/>
      <w:sz w:val="22"/>
      <w:szCs w:val="22"/>
    </w:rPr>
  </w:style>
  <w:style w:type="paragraph" w:styleId="NoSpacing">
    <w:name w:val="No Spacing"/>
    <w:link w:val="NoSpacingChar"/>
    <w:qFormat/>
    <w:rsid w:val="0000691A"/>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rsid w:val="0000691A"/>
    <w:rPr>
      <w:rFonts w:ascii="Calibri" w:eastAsia="Calibri" w:hAnsi="Calibri" w:cs="Times New Roman"/>
      <w:lang w:val="en-GB"/>
    </w:rPr>
  </w:style>
  <w:style w:type="paragraph" w:styleId="Header">
    <w:name w:val="header"/>
    <w:basedOn w:val="Normal"/>
    <w:link w:val="HeaderChar"/>
    <w:uiPriority w:val="99"/>
    <w:unhideWhenUsed/>
    <w:rsid w:val="0089293B"/>
    <w:pPr>
      <w:tabs>
        <w:tab w:val="center" w:pos="4680"/>
        <w:tab w:val="right" w:pos="9360"/>
      </w:tabs>
    </w:pPr>
  </w:style>
  <w:style w:type="character" w:customStyle="1" w:styleId="HeaderChar">
    <w:name w:val="Header Char"/>
    <w:basedOn w:val="DefaultParagraphFont"/>
    <w:link w:val="Header"/>
    <w:uiPriority w:val="99"/>
    <w:rsid w:val="0089293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89293B"/>
    <w:pPr>
      <w:tabs>
        <w:tab w:val="center" w:pos="4680"/>
        <w:tab w:val="right" w:pos="9360"/>
      </w:tabs>
    </w:pPr>
  </w:style>
  <w:style w:type="character" w:customStyle="1" w:styleId="FooterChar">
    <w:name w:val="Footer Char"/>
    <w:basedOn w:val="DefaultParagraphFont"/>
    <w:link w:val="Footer"/>
    <w:uiPriority w:val="99"/>
    <w:rsid w:val="0089293B"/>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C44FDB"/>
    <w:rPr>
      <w:color w:val="0000FF" w:themeColor="hyperlink"/>
      <w:u w:val="single"/>
    </w:rPr>
  </w:style>
  <w:style w:type="character" w:customStyle="1" w:styleId="Heading1Char">
    <w:name w:val="Heading 1 Char"/>
    <w:basedOn w:val="DefaultParagraphFont"/>
    <w:link w:val="Heading1"/>
    <w:rsid w:val="00423126"/>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423126"/>
    <w:rPr>
      <w:rFonts w:ascii="Times New Roman" w:eastAsia="Times New Roman" w:hAnsi="Times New Roman"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divs>
    <w:div w:id="18584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2CFE9BE9245A419307CC254DCA6723" ma:contentTypeVersion="1" ma:contentTypeDescription="Create a new document." ma:contentTypeScope="" ma:versionID="ce9191876a900d6f00854ec14d5ef3f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FED64E-838A-424F-8949-1F34FDA07FAE}"/>
</file>

<file path=customXml/itemProps2.xml><?xml version="1.0" encoding="utf-8"?>
<ds:datastoreItem xmlns:ds="http://schemas.openxmlformats.org/officeDocument/2006/customXml" ds:itemID="{CE318741-CD77-4718-912B-9186D778B909}"/>
</file>

<file path=customXml/itemProps3.xml><?xml version="1.0" encoding="utf-8"?>
<ds:datastoreItem xmlns:ds="http://schemas.openxmlformats.org/officeDocument/2006/customXml" ds:itemID="{124A800A-858E-4C7A-B91A-7A01A7C7FF7D}"/>
</file>

<file path=customXml/itemProps4.xml><?xml version="1.0" encoding="utf-8"?>
<ds:datastoreItem xmlns:ds="http://schemas.openxmlformats.org/officeDocument/2006/customXml" ds:itemID="{D7CE5D40-C205-4096-944D-DA3D9A1C6F7C}"/>
</file>

<file path=docProps/app.xml><?xml version="1.0" encoding="utf-8"?>
<Properties xmlns="http://schemas.openxmlformats.org/officeDocument/2006/extended-properties" xmlns:vt="http://schemas.openxmlformats.org/officeDocument/2006/docPropsVTypes">
  <Template>Normal</Template>
  <TotalTime>508</TotalTime>
  <Pages>40</Pages>
  <Words>9649</Words>
  <Characters>55003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bkhooseeal</dc:creator>
  <cp:keywords/>
  <dc:description/>
  <cp:lastModifiedBy>NAB</cp:lastModifiedBy>
  <cp:revision>37</cp:revision>
  <cp:lastPrinted>2014-07-24T11:28:00Z</cp:lastPrinted>
  <dcterms:created xsi:type="dcterms:W3CDTF">2014-07-09T09:27:00Z</dcterms:created>
  <dcterms:modified xsi:type="dcterms:W3CDTF">2014-07-25T08:19:00Z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0x010100182CFE9BE9245A419307CC254DCA6723</vt:lpwstr>
  </property>
</Properties>
</file>